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17" w:rsidRDefault="00AA7817" w:rsidP="00650154">
      <w:pPr>
        <w:pStyle w:val="TableofFigures"/>
      </w:pPr>
    </w:p>
    <w:p w:rsidR="00441E3B" w:rsidRDefault="004A6543" w:rsidP="004A6543">
      <w:pPr>
        <w:pStyle w:val="Covertext1"/>
      </w:pPr>
      <w:r>
        <w:t>Susitna-Watana Hydroelectric Project</w:t>
      </w:r>
    </w:p>
    <w:p w:rsidR="004A6543" w:rsidRDefault="004A6543" w:rsidP="004A6543">
      <w:pPr>
        <w:pStyle w:val="Covertext1"/>
      </w:pPr>
      <w:r>
        <w:t>(FERC No. 14241)</w:t>
      </w:r>
    </w:p>
    <w:p w:rsidR="004A6543" w:rsidRDefault="004A6543" w:rsidP="004A6543"/>
    <w:p w:rsidR="00AA7817" w:rsidRDefault="00AA7817" w:rsidP="004A6543"/>
    <w:p w:rsidR="004A6543" w:rsidRDefault="002D689D" w:rsidP="004A6543">
      <w:pPr>
        <w:pStyle w:val="Covertext1"/>
      </w:pPr>
      <w:r>
        <w:t xml:space="preserve">Water Quality </w:t>
      </w:r>
      <w:r w:rsidR="00951BA9">
        <w:t xml:space="preserve">and Mercury Monitoring Program </w:t>
      </w:r>
    </w:p>
    <w:p w:rsidR="004A6543" w:rsidRDefault="004A6543" w:rsidP="00430AC7">
      <w:pPr>
        <w:pStyle w:val="Covertext1"/>
      </w:pPr>
    </w:p>
    <w:p w:rsidR="004A6543" w:rsidRDefault="00951BA9" w:rsidP="004A6543">
      <w:pPr>
        <w:pStyle w:val="Covertext1"/>
      </w:pPr>
      <w:r>
        <w:t xml:space="preserve">Data Validation </w:t>
      </w:r>
      <w:r w:rsidR="00E75E25">
        <w:t>Technical Memo</w:t>
      </w:r>
    </w:p>
    <w:p w:rsidR="00AA7817" w:rsidRDefault="00AA7817" w:rsidP="004A6543"/>
    <w:p w:rsidR="00E54671" w:rsidRDefault="00E54671" w:rsidP="004A6543"/>
    <w:p w:rsidR="00E54671" w:rsidRDefault="00E54671" w:rsidP="004A6543"/>
    <w:p w:rsidR="004A6543" w:rsidRDefault="004A6543" w:rsidP="004A6543"/>
    <w:p w:rsidR="004A6543" w:rsidRDefault="00AA7817" w:rsidP="004A6543">
      <w:pPr>
        <w:pStyle w:val="Covertext2"/>
      </w:pPr>
      <w:r>
        <w:t>Prepared for</w:t>
      </w:r>
    </w:p>
    <w:p w:rsidR="00AA7817" w:rsidRDefault="00AA7817" w:rsidP="00AA7817"/>
    <w:p w:rsidR="00AA7817" w:rsidRDefault="00AA7817" w:rsidP="00AA7817">
      <w:pPr>
        <w:pStyle w:val="Covertext2"/>
      </w:pPr>
      <w:r>
        <w:t>Alaska Energy Authority</w:t>
      </w:r>
    </w:p>
    <w:p w:rsidR="00AA7817" w:rsidRDefault="00AA7817" w:rsidP="00AA7817"/>
    <w:p w:rsidR="00AA7817" w:rsidRDefault="00AA7817" w:rsidP="00AA7817">
      <w:pPr>
        <w:jc w:val="right"/>
      </w:pPr>
      <w:r w:rsidRPr="00690349">
        <w:rPr>
          <w:rFonts w:eastAsia="Calibri"/>
          <w:noProof/>
        </w:rPr>
        <w:drawing>
          <wp:inline distT="0" distB="0" distL="0" distR="0">
            <wp:extent cx="2780030" cy="646430"/>
            <wp:effectExtent l="0" t="0" r="1270" b="1270"/>
            <wp:docPr id="18" name="Picture 18" descr="cid:image002.jpg@01CDB391.C254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CDB391.C254322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780030" cy="646430"/>
                    </a:xfrm>
                    <a:prstGeom prst="rect">
                      <a:avLst/>
                    </a:prstGeom>
                    <a:noFill/>
                    <a:ln>
                      <a:noFill/>
                    </a:ln>
                  </pic:spPr>
                </pic:pic>
              </a:graphicData>
            </a:graphic>
          </wp:inline>
        </w:drawing>
      </w:r>
    </w:p>
    <w:p w:rsidR="00AA7817" w:rsidRDefault="00AA7817" w:rsidP="00AA7817">
      <w:pPr>
        <w:pStyle w:val="Covertext2"/>
      </w:pPr>
      <w:r>
        <w:t>Prepared by</w:t>
      </w:r>
    </w:p>
    <w:p w:rsidR="00AA7817" w:rsidRDefault="002D689D" w:rsidP="00AA7817">
      <w:pPr>
        <w:pStyle w:val="Covertext2"/>
      </w:pPr>
      <w:r>
        <w:t>Tetra Tech Inc.</w:t>
      </w:r>
    </w:p>
    <w:p w:rsidR="00AA7817" w:rsidRDefault="00AA7817" w:rsidP="00AA7817"/>
    <w:p w:rsidR="00AA7817" w:rsidRDefault="00951BA9" w:rsidP="00AA7817">
      <w:pPr>
        <w:pStyle w:val="Covertext2"/>
      </w:pPr>
      <w:r>
        <w:t xml:space="preserve">March </w:t>
      </w:r>
      <w:r w:rsidR="00D4507C">
        <w:t>2014</w:t>
      </w:r>
    </w:p>
    <w:p w:rsidR="00AA7817" w:rsidRDefault="00AA7817" w:rsidP="00AA7817"/>
    <w:p w:rsidR="00AA7817" w:rsidRDefault="00AA7817" w:rsidP="00AA7817">
      <w:pPr>
        <w:sectPr w:rsidR="00AA7817">
          <w:pgSz w:w="12240" w:h="15840"/>
          <w:pgMar w:top="1440" w:right="1440" w:bottom="1440" w:left="1440" w:header="720" w:footer="720" w:gutter="0"/>
          <w:cols w:space="720"/>
          <w:docGrid w:linePitch="360"/>
        </w:sectPr>
      </w:pPr>
    </w:p>
    <w:p w:rsidR="00AA7817" w:rsidRDefault="00133347" w:rsidP="00B6665D">
      <w:pPr>
        <w:pStyle w:val="TOCSectionHead"/>
      </w:pPr>
      <w:r>
        <w:lastRenderedPageBreak/>
        <w:t>Table of Contents</w:t>
      </w:r>
    </w:p>
    <w:p w:rsidR="00691E54" w:rsidRDefault="0092490C">
      <w:pPr>
        <w:pStyle w:val="TOC1"/>
        <w:tabs>
          <w:tab w:val="right" w:leader="dot" w:pos="9350"/>
        </w:tabs>
        <w:rPr>
          <w:rFonts w:asciiTheme="minorHAnsi" w:eastAsiaTheme="minorEastAsia" w:hAnsiTheme="minorHAnsi"/>
          <w:b w:val="0"/>
          <w:noProof/>
          <w:sz w:val="22"/>
        </w:rPr>
      </w:pPr>
      <w:r>
        <w:fldChar w:fldCharType="begin"/>
      </w:r>
      <w:r w:rsidR="00D112E1">
        <w:instrText xml:space="preserve"> TOC \o "1-3" \h \z \t "Summary Head,1" </w:instrText>
      </w:r>
      <w:r>
        <w:fldChar w:fldCharType="separate"/>
      </w:r>
      <w:hyperlink w:anchor="_Toc384377933" w:history="1">
        <w:r w:rsidR="00691E54" w:rsidRPr="00297222">
          <w:rPr>
            <w:rStyle w:val="Hyperlink"/>
            <w:noProof/>
          </w:rPr>
          <w:t>1.</w:t>
        </w:r>
        <w:r w:rsidR="00691E54">
          <w:rPr>
            <w:rFonts w:asciiTheme="minorHAnsi" w:eastAsiaTheme="minorEastAsia" w:hAnsiTheme="minorHAnsi"/>
            <w:b w:val="0"/>
            <w:noProof/>
            <w:sz w:val="22"/>
          </w:rPr>
          <w:tab/>
        </w:r>
        <w:r w:rsidR="00691E54" w:rsidRPr="00297222">
          <w:rPr>
            <w:rStyle w:val="Hyperlink"/>
            <w:noProof/>
          </w:rPr>
          <w:t>Introduction</w:t>
        </w:r>
        <w:r w:rsidR="00691E54">
          <w:rPr>
            <w:noProof/>
            <w:webHidden/>
          </w:rPr>
          <w:tab/>
        </w:r>
        <w:r w:rsidR="00691E54">
          <w:rPr>
            <w:noProof/>
            <w:webHidden/>
          </w:rPr>
          <w:fldChar w:fldCharType="begin"/>
        </w:r>
        <w:r w:rsidR="00691E54">
          <w:rPr>
            <w:noProof/>
            <w:webHidden/>
          </w:rPr>
          <w:instrText xml:space="preserve"> PAGEREF _Toc384377933 \h </w:instrText>
        </w:r>
        <w:r w:rsidR="00691E54">
          <w:rPr>
            <w:noProof/>
            <w:webHidden/>
          </w:rPr>
        </w:r>
        <w:r w:rsidR="00691E54">
          <w:rPr>
            <w:noProof/>
            <w:webHidden/>
          </w:rPr>
          <w:fldChar w:fldCharType="separate"/>
        </w:r>
        <w:r w:rsidR="00461C20">
          <w:rPr>
            <w:noProof/>
            <w:webHidden/>
          </w:rPr>
          <w:t>1</w:t>
        </w:r>
        <w:r w:rsidR="00691E54">
          <w:rPr>
            <w:noProof/>
            <w:webHidden/>
          </w:rPr>
          <w:fldChar w:fldCharType="end"/>
        </w:r>
      </w:hyperlink>
    </w:p>
    <w:p w:rsidR="00691E54" w:rsidRDefault="002B6459">
      <w:pPr>
        <w:pStyle w:val="TOC1"/>
        <w:tabs>
          <w:tab w:val="right" w:leader="dot" w:pos="9350"/>
        </w:tabs>
        <w:rPr>
          <w:rFonts w:asciiTheme="minorHAnsi" w:eastAsiaTheme="minorEastAsia" w:hAnsiTheme="minorHAnsi"/>
          <w:b w:val="0"/>
          <w:noProof/>
          <w:sz w:val="22"/>
        </w:rPr>
      </w:pPr>
      <w:hyperlink w:anchor="_Toc384377934" w:history="1">
        <w:r w:rsidR="00691E54" w:rsidRPr="00297222">
          <w:rPr>
            <w:rStyle w:val="Hyperlink"/>
            <w:noProof/>
          </w:rPr>
          <w:t>2.</w:t>
        </w:r>
        <w:r w:rsidR="00691E54">
          <w:rPr>
            <w:rFonts w:asciiTheme="minorHAnsi" w:eastAsiaTheme="minorEastAsia" w:hAnsiTheme="minorHAnsi"/>
            <w:b w:val="0"/>
            <w:noProof/>
            <w:sz w:val="22"/>
          </w:rPr>
          <w:tab/>
        </w:r>
        <w:r w:rsidR="00691E54" w:rsidRPr="00297222">
          <w:rPr>
            <w:rStyle w:val="Hyperlink"/>
            <w:noProof/>
          </w:rPr>
          <w:t>Parameters Measured</w:t>
        </w:r>
        <w:r w:rsidR="00691E54">
          <w:rPr>
            <w:noProof/>
            <w:webHidden/>
          </w:rPr>
          <w:tab/>
        </w:r>
        <w:r w:rsidR="00691E54">
          <w:rPr>
            <w:noProof/>
            <w:webHidden/>
          </w:rPr>
          <w:fldChar w:fldCharType="begin"/>
        </w:r>
        <w:r w:rsidR="00691E54">
          <w:rPr>
            <w:noProof/>
            <w:webHidden/>
          </w:rPr>
          <w:instrText xml:space="preserve"> PAGEREF _Toc384377934 \h </w:instrText>
        </w:r>
        <w:r w:rsidR="00691E54">
          <w:rPr>
            <w:noProof/>
            <w:webHidden/>
          </w:rPr>
        </w:r>
        <w:r w:rsidR="00691E54">
          <w:rPr>
            <w:noProof/>
            <w:webHidden/>
          </w:rPr>
          <w:fldChar w:fldCharType="separate"/>
        </w:r>
        <w:r w:rsidR="00461C20">
          <w:rPr>
            <w:noProof/>
            <w:webHidden/>
          </w:rPr>
          <w:t>1</w:t>
        </w:r>
        <w:r w:rsidR="00691E54">
          <w:rPr>
            <w:noProof/>
            <w:webHidden/>
          </w:rPr>
          <w:fldChar w:fldCharType="end"/>
        </w:r>
      </w:hyperlink>
    </w:p>
    <w:p w:rsidR="00691E54" w:rsidRDefault="002B6459">
      <w:pPr>
        <w:pStyle w:val="TOC1"/>
        <w:tabs>
          <w:tab w:val="right" w:leader="dot" w:pos="9350"/>
        </w:tabs>
        <w:rPr>
          <w:rFonts w:asciiTheme="minorHAnsi" w:eastAsiaTheme="minorEastAsia" w:hAnsiTheme="minorHAnsi"/>
          <w:b w:val="0"/>
          <w:noProof/>
          <w:sz w:val="22"/>
        </w:rPr>
      </w:pPr>
      <w:hyperlink w:anchor="_Toc384377935" w:history="1">
        <w:r w:rsidR="00691E54" w:rsidRPr="00297222">
          <w:rPr>
            <w:rStyle w:val="Hyperlink"/>
            <w:noProof/>
          </w:rPr>
          <w:t>3.</w:t>
        </w:r>
        <w:r w:rsidR="00691E54">
          <w:rPr>
            <w:rFonts w:asciiTheme="minorHAnsi" w:eastAsiaTheme="minorEastAsia" w:hAnsiTheme="minorHAnsi"/>
            <w:b w:val="0"/>
            <w:noProof/>
            <w:sz w:val="22"/>
          </w:rPr>
          <w:tab/>
        </w:r>
        <w:r w:rsidR="00691E54" w:rsidRPr="00297222">
          <w:rPr>
            <w:rStyle w:val="Hyperlink"/>
            <w:noProof/>
          </w:rPr>
          <w:t>Laboratory Performance Evaluation</w:t>
        </w:r>
        <w:r w:rsidR="00691E54">
          <w:rPr>
            <w:noProof/>
            <w:webHidden/>
          </w:rPr>
          <w:tab/>
        </w:r>
        <w:r w:rsidR="00691E54">
          <w:rPr>
            <w:noProof/>
            <w:webHidden/>
          </w:rPr>
          <w:fldChar w:fldCharType="begin"/>
        </w:r>
        <w:r w:rsidR="00691E54">
          <w:rPr>
            <w:noProof/>
            <w:webHidden/>
          </w:rPr>
          <w:instrText xml:space="preserve"> PAGEREF _Toc384377935 \h </w:instrText>
        </w:r>
        <w:r w:rsidR="00691E54">
          <w:rPr>
            <w:noProof/>
            <w:webHidden/>
          </w:rPr>
        </w:r>
        <w:r w:rsidR="00691E54">
          <w:rPr>
            <w:noProof/>
            <w:webHidden/>
          </w:rPr>
          <w:fldChar w:fldCharType="separate"/>
        </w:r>
        <w:r w:rsidR="00461C20">
          <w:rPr>
            <w:noProof/>
            <w:webHidden/>
          </w:rPr>
          <w:t>1</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36" w:history="1">
        <w:r w:rsidR="00691E54" w:rsidRPr="00297222">
          <w:rPr>
            <w:rStyle w:val="Hyperlink"/>
            <w:noProof/>
          </w:rPr>
          <w:t>3.1.</w:t>
        </w:r>
        <w:r w:rsidR="00691E54">
          <w:rPr>
            <w:rFonts w:asciiTheme="minorHAnsi" w:eastAsiaTheme="minorEastAsia" w:hAnsiTheme="minorHAnsi"/>
            <w:noProof/>
            <w:sz w:val="22"/>
          </w:rPr>
          <w:tab/>
        </w:r>
        <w:r w:rsidR="00691E54" w:rsidRPr="00297222">
          <w:rPr>
            <w:rStyle w:val="Hyperlink"/>
            <w:noProof/>
          </w:rPr>
          <w:t>Data Qualifiers</w:t>
        </w:r>
        <w:r w:rsidR="00691E54">
          <w:rPr>
            <w:noProof/>
            <w:webHidden/>
          </w:rPr>
          <w:tab/>
        </w:r>
        <w:r w:rsidR="00691E54">
          <w:rPr>
            <w:noProof/>
            <w:webHidden/>
          </w:rPr>
          <w:fldChar w:fldCharType="begin"/>
        </w:r>
        <w:r w:rsidR="00691E54">
          <w:rPr>
            <w:noProof/>
            <w:webHidden/>
          </w:rPr>
          <w:instrText xml:space="preserve"> PAGEREF _Toc384377936 \h </w:instrText>
        </w:r>
        <w:r w:rsidR="00691E54">
          <w:rPr>
            <w:noProof/>
            <w:webHidden/>
          </w:rPr>
        </w:r>
        <w:r w:rsidR="00691E54">
          <w:rPr>
            <w:noProof/>
            <w:webHidden/>
          </w:rPr>
          <w:fldChar w:fldCharType="separate"/>
        </w:r>
        <w:r w:rsidR="00461C20">
          <w:rPr>
            <w:noProof/>
            <w:webHidden/>
          </w:rPr>
          <w:t>1</w:t>
        </w:r>
        <w:r w:rsidR="00691E54">
          <w:rPr>
            <w:noProof/>
            <w:webHidden/>
          </w:rPr>
          <w:fldChar w:fldCharType="end"/>
        </w:r>
      </w:hyperlink>
    </w:p>
    <w:p w:rsidR="00691E54" w:rsidRDefault="002B6459">
      <w:pPr>
        <w:pStyle w:val="TOC1"/>
        <w:tabs>
          <w:tab w:val="right" w:leader="dot" w:pos="9350"/>
        </w:tabs>
        <w:rPr>
          <w:rFonts w:asciiTheme="minorHAnsi" w:eastAsiaTheme="minorEastAsia" w:hAnsiTheme="minorHAnsi"/>
          <w:b w:val="0"/>
          <w:noProof/>
          <w:sz w:val="22"/>
        </w:rPr>
      </w:pPr>
      <w:hyperlink w:anchor="_Toc384377937" w:history="1">
        <w:r w:rsidR="00691E54" w:rsidRPr="00297222">
          <w:rPr>
            <w:rStyle w:val="Hyperlink"/>
            <w:noProof/>
          </w:rPr>
          <w:t>4.</w:t>
        </w:r>
        <w:r w:rsidR="00691E54">
          <w:rPr>
            <w:rFonts w:asciiTheme="minorHAnsi" w:eastAsiaTheme="minorEastAsia" w:hAnsiTheme="minorHAnsi"/>
            <w:b w:val="0"/>
            <w:noProof/>
            <w:sz w:val="22"/>
          </w:rPr>
          <w:tab/>
        </w:r>
        <w:r w:rsidR="00691E54" w:rsidRPr="00297222">
          <w:rPr>
            <w:rStyle w:val="Hyperlink"/>
            <w:noProof/>
          </w:rPr>
          <w:t>Data Evaluation</w:t>
        </w:r>
        <w:r w:rsidR="00691E54">
          <w:rPr>
            <w:noProof/>
            <w:webHidden/>
          </w:rPr>
          <w:tab/>
        </w:r>
        <w:r w:rsidR="00691E54">
          <w:rPr>
            <w:noProof/>
            <w:webHidden/>
          </w:rPr>
          <w:fldChar w:fldCharType="begin"/>
        </w:r>
        <w:r w:rsidR="00691E54">
          <w:rPr>
            <w:noProof/>
            <w:webHidden/>
          </w:rPr>
          <w:instrText xml:space="preserve"> PAGEREF _Toc384377937 \h </w:instrText>
        </w:r>
        <w:r w:rsidR="00691E54">
          <w:rPr>
            <w:noProof/>
            <w:webHidden/>
          </w:rPr>
        </w:r>
        <w:r w:rsidR="00691E54">
          <w:rPr>
            <w:noProof/>
            <w:webHidden/>
          </w:rPr>
          <w:fldChar w:fldCharType="separate"/>
        </w:r>
        <w:r w:rsidR="00461C20">
          <w:rPr>
            <w:noProof/>
            <w:webHidden/>
          </w:rPr>
          <w:t>1</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38" w:history="1">
        <w:r w:rsidR="00691E54" w:rsidRPr="00297222">
          <w:rPr>
            <w:rStyle w:val="Hyperlink"/>
            <w:noProof/>
          </w:rPr>
          <w:t>4.1.</w:t>
        </w:r>
        <w:r w:rsidR="00691E54">
          <w:rPr>
            <w:rFonts w:asciiTheme="minorHAnsi" w:eastAsiaTheme="minorEastAsia" w:hAnsiTheme="minorHAnsi"/>
            <w:noProof/>
            <w:sz w:val="22"/>
          </w:rPr>
          <w:tab/>
        </w:r>
        <w:r w:rsidR="00691E54" w:rsidRPr="00297222">
          <w:rPr>
            <w:rStyle w:val="Hyperlink"/>
            <w:noProof/>
          </w:rPr>
          <w:t>Data Completeness</w:t>
        </w:r>
        <w:r w:rsidR="00691E54">
          <w:rPr>
            <w:noProof/>
            <w:webHidden/>
          </w:rPr>
          <w:tab/>
        </w:r>
        <w:r w:rsidR="00691E54">
          <w:rPr>
            <w:noProof/>
            <w:webHidden/>
          </w:rPr>
          <w:fldChar w:fldCharType="begin"/>
        </w:r>
        <w:r w:rsidR="00691E54">
          <w:rPr>
            <w:noProof/>
            <w:webHidden/>
          </w:rPr>
          <w:instrText xml:space="preserve"> PAGEREF _Toc384377938 \h </w:instrText>
        </w:r>
        <w:r w:rsidR="00691E54">
          <w:rPr>
            <w:noProof/>
            <w:webHidden/>
          </w:rPr>
        </w:r>
        <w:r w:rsidR="00691E54">
          <w:rPr>
            <w:noProof/>
            <w:webHidden/>
          </w:rPr>
          <w:fldChar w:fldCharType="separate"/>
        </w:r>
        <w:r w:rsidR="00461C20">
          <w:rPr>
            <w:noProof/>
            <w:webHidden/>
          </w:rPr>
          <w:t>1</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39" w:history="1">
        <w:r w:rsidR="00691E54" w:rsidRPr="00297222">
          <w:rPr>
            <w:rStyle w:val="Hyperlink"/>
            <w:noProof/>
          </w:rPr>
          <w:t>4.2.</w:t>
        </w:r>
        <w:r w:rsidR="00691E54">
          <w:rPr>
            <w:rFonts w:asciiTheme="minorHAnsi" w:eastAsiaTheme="minorEastAsia" w:hAnsiTheme="minorHAnsi"/>
            <w:noProof/>
            <w:sz w:val="22"/>
          </w:rPr>
          <w:tab/>
        </w:r>
        <w:r w:rsidR="00691E54" w:rsidRPr="00297222">
          <w:rPr>
            <w:rStyle w:val="Hyperlink"/>
            <w:noProof/>
          </w:rPr>
          <w:t>Sample Preservation, Receipt, and Holding Times</w:t>
        </w:r>
        <w:r w:rsidR="00691E54">
          <w:rPr>
            <w:noProof/>
            <w:webHidden/>
          </w:rPr>
          <w:tab/>
        </w:r>
        <w:r w:rsidR="00691E54">
          <w:rPr>
            <w:noProof/>
            <w:webHidden/>
          </w:rPr>
          <w:fldChar w:fldCharType="begin"/>
        </w:r>
        <w:r w:rsidR="00691E54">
          <w:rPr>
            <w:noProof/>
            <w:webHidden/>
          </w:rPr>
          <w:instrText xml:space="preserve"> PAGEREF _Toc384377939 \h </w:instrText>
        </w:r>
        <w:r w:rsidR="00691E54">
          <w:rPr>
            <w:noProof/>
            <w:webHidden/>
          </w:rPr>
        </w:r>
        <w:r w:rsidR="00691E54">
          <w:rPr>
            <w:noProof/>
            <w:webHidden/>
          </w:rPr>
          <w:fldChar w:fldCharType="separate"/>
        </w:r>
        <w:r w:rsidR="00461C20">
          <w:rPr>
            <w:noProof/>
            <w:webHidden/>
          </w:rPr>
          <w:t>1</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0" w:history="1">
        <w:r w:rsidR="00691E54" w:rsidRPr="00297222">
          <w:rPr>
            <w:rStyle w:val="Hyperlink"/>
            <w:noProof/>
          </w:rPr>
          <w:t>4.3.</w:t>
        </w:r>
        <w:r w:rsidR="00691E54">
          <w:rPr>
            <w:rFonts w:asciiTheme="minorHAnsi" w:eastAsiaTheme="minorEastAsia" w:hAnsiTheme="minorHAnsi"/>
            <w:noProof/>
            <w:sz w:val="22"/>
          </w:rPr>
          <w:tab/>
        </w:r>
        <w:r w:rsidR="00691E54" w:rsidRPr="00297222">
          <w:rPr>
            <w:rStyle w:val="Hyperlink"/>
            <w:noProof/>
          </w:rPr>
          <w:t>Laboratory and Field Blanks</w:t>
        </w:r>
        <w:r w:rsidR="00691E54">
          <w:rPr>
            <w:noProof/>
            <w:webHidden/>
          </w:rPr>
          <w:tab/>
        </w:r>
        <w:r w:rsidR="00691E54">
          <w:rPr>
            <w:noProof/>
            <w:webHidden/>
          </w:rPr>
          <w:fldChar w:fldCharType="begin"/>
        </w:r>
        <w:r w:rsidR="00691E54">
          <w:rPr>
            <w:noProof/>
            <w:webHidden/>
          </w:rPr>
          <w:instrText xml:space="preserve"> PAGEREF _Toc384377940 \h </w:instrText>
        </w:r>
        <w:r w:rsidR="00691E54">
          <w:rPr>
            <w:noProof/>
            <w:webHidden/>
          </w:rPr>
        </w:r>
        <w:r w:rsidR="00691E54">
          <w:rPr>
            <w:noProof/>
            <w:webHidden/>
          </w:rPr>
          <w:fldChar w:fldCharType="separate"/>
        </w:r>
        <w:r w:rsidR="00461C20">
          <w:rPr>
            <w:noProof/>
            <w:webHidden/>
          </w:rPr>
          <w:t>2</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1" w:history="1">
        <w:r w:rsidR="00691E54" w:rsidRPr="00297222">
          <w:rPr>
            <w:rStyle w:val="Hyperlink"/>
            <w:noProof/>
          </w:rPr>
          <w:t>4.4.</w:t>
        </w:r>
        <w:r w:rsidR="00691E54">
          <w:rPr>
            <w:rFonts w:asciiTheme="minorHAnsi" w:eastAsiaTheme="minorEastAsia" w:hAnsiTheme="minorHAnsi"/>
            <w:noProof/>
            <w:sz w:val="22"/>
          </w:rPr>
          <w:tab/>
        </w:r>
        <w:r w:rsidR="00691E54" w:rsidRPr="00297222">
          <w:rPr>
            <w:rStyle w:val="Hyperlink"/>
            <w:noProof/>
          </w:rPr>
          <w:t>Matrix Spike/Matrix Spike Duplicate (MS/MSD)</w:t>
        </w:r>
        <w:r w:rsidR="00691E54">
          <w:rPr>
            <w:noProof/>
            <w:webHidden/>
          </w:rPr>
          <w:tab/>
        </w:r>
        <w:r w:rsidR="00691E54">
          <w:rPr>
            <w:noProof/>
            <w:webHidden/>
          </w:rPr>
          <w:fldChar w:fldCharType="begin"/>
        </w:r>
        <w:r w:rsidR="00691E54">
          <w:rPr>
            <w:noProof/>
            <w:webHidden/>
          </w:rPr>
          <w:instrText xml:space="preserve"> PAGEREF _Toc384377941 \h </w:instrText>
        </w:r>
        <w:r w:rsidR="00691E54">
          <w:rPr>
            <w:noProof/>
            <w:webHidden/>
          </w:rPr>
        </w:r>
        <w:r w:rsidR="00691E54">
          <w:rPr>
            <w:noProof/>
            <w:webHidden/>
          </w:rPr>
          <w:fldChar w:fldCharType="separate"/>
        </w:r>
        <w:r w:rsidR="00461C20">
          <w:rPr>
            <w:noProof/>
            <w:webHidden/>
          </w:rPr>
          <w:t>3</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2" w:history="1">
        <w:r w:rsidR="00691E54" w:rsidRPr="00297222">
          <w:rPr>
            <w:rStyle w:val="Hyperlink"/>
            <w:noProof/>
          </w:rPr>
          <w:t>4.5.</w:t>
        </w:r>
        <w:r w:rsidR="00691E54">
          <w:rPr>
            <w:rFonts w:asciiTheme="minorHAnsi" w:eastAsiaTheme="minorEastAsia" w:hAnsiTheme="minorHAnsi"/>
            <w:noProof/>
            <w:sz w:val="22"/>
          </w:rPr>
          <w:tab/>
        </w:r>
        <w:r w:rsidR="00691E54" w:rsidRPr="00297222">
          <w:rPr>
            <w:rStyle w:val="Hyperlink"/>
            <w:noProof/>
          </w:rPr>
          <w:t>Laboratory Duplicate Sample Analysis</w:t>
        </w:r>
        <w:r w:rsidR="00691E54">
          <w:rPr>
            <w:noProof/>
            <w:webHidden/>
          </w:rPr>
          <w:tab/>
        </w:r>
        <w:r w:rsidR="00691E54">
          <w:rPr>
            <w:noProof/>
            <w:webHidden/>
          </w:rPr>
          <w:fldChar w:fldCharType="begin"/>
        </w:r>
        <w:r w:rsidR="00691E54">
          <w:rPr>
            <w:noProof/>
            <w:webHidden/>
          </w:rPr>
          <w:instrText xml:space="preserve"> PAGEREF _Toc384377942 \h </w:instrText>
        </w:r>
        <w:r w:rsidR="00691E54">
          <w:rPr>
            <w:noProof/>
            <w:webHidden/>
          </w:rPr>
        </w:r>
        <w:r w:rsidR="00691E54">
          <w:rPr>
            <w:noProof/>
            <w:webHidden/>
          </w:rPr>
          <w:fldChar w:fldCharType="separate"/>
        </w:r>
        <w:r w:rsidR="00461C20">
          <w:rPr>
            <w:noProof/>
            <w:webHidden/>
          </w:rPr>
          <w:t>3</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3" w:history="1">
        <w:r w:rsidR="00691E54" w:rsidRPr="00297222">
          <w:rPr>
            <w:rStyle w:val="Hyperlink"/>
            <w:noProof/>
          </w:rPr>
          <w:t>4.6.</w:t>
        </w:r>
        <w:r w:rsidR="00691E54">
          <w:rPr>
            <w:rFonts w:asciiTheme="minorHAnsi" w:eastAsiaTheme="minorEastAsia" w:hAnsiTheme="minorHAnsi"/>
            <w:noProof/>
            <w:sz w:val="22"/>
          </w:rPr>
          <w:tab/>
        </w:r>
        <w:r w:rsidR="00691E54" w:rsidRPr="00297222">
          <w:rPr>
            <w:rStyle w:val="Hyperlink"/>
            <w:noProof/>
          </w:rPr>
          <w:t>Spike Sample Analysis</w:t>
        </w:r>
        <w:r w:rsidR="00691E54">
          <w:rPr>
            <w:noProof/>
            <w:webHidden/>
          </w:rPr>
          <w:tab/>
        </w:r>
        <w:r w:rsidR="00691E54">
          <w:rPr>
            <w:noProof/>
            <w:webHidden/>
          </w:rPr>
          <w:fldChar w:fldCharType="begin"/>
        </w:r>
        <w:r w:rsidR="00691E54">
          <w:rPr>
            <w:noProof/>
            <w:webHidden/>
          </w:rPr>
          <w:instrText xml:space="preserve"> PAGEREF _Toc384377943 \h </w:instrText>
        </w:r>
        <w:r w:rsidR="00691E54">
          <w:rPr>
            <w:noProof/>
            <w:webHidden/>
          </w:rPr>
        </w:r>
        <w:r w:rsidR="00691E54">
          <w:rPr>
            <w:noProof/>
            <w:webHidden/>
          </w:rPr>
          <w:fldChar w:fldCharType="separate"/>
        </w:r>
        <w:r w:rsidR="00461C20">
          <w:rPr>
            <w:noProof/>
            <w:webHidden/>
          </w:rPr>
          <w:t>3</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4" w:history="1">
        <w:r w:rsidR="00691E54" w:rsidRPr="00297222">
          <w:rPr>
            <w:rStyle w:val="Hyperlink"/>
            <w:noProof/>
          </w:rPr>
          <w:t>4.7.</w:t>
        </w:r>
        <w:r w:rsidR="00691E54">
          <w:rPr>
            <w:rFonts w:asciiTheme="minorHAnsi" w:eastAsiaTheme="minorEastAsia" w:hAnsiTheme="minorHAnsi"/>
            <w:noProof/>
            <w:sz w:val="22"/>
          </w:rPr>
          <w:tab/>
        </w:r>
        <w:r w:rsidR="00691E54" w:rsidRPr="00297222">
          <w:rPr>
            <w:rStyle w:val="Hyperlink"/>
            <w:noProof/>
          </w:rPr>
          <w:t>ICP Serial Dilution</w:t>
        </w:r>
        <w:r w:rsidR="00691E54">
          <w:rPr>
            <w:noProof/>
            <w:webHidden/>
          </w:rPr>
          <w:tab/>
        </w:r>
        <w:r w:rsidR="00691E54">
          <w:rPr>
            <w:noProof/>
            <w:webHidden/>
          </w:rPr>
          <w:fldChar w:fldCharType="begin"/>
        </w:r>
        <w:r w:rsidR="00691E54">
          <w:rPr>
            <w:noProof/>
            <w:webHidden/>
          </w:rPr>
          <w:instrText xml:space="preserve"> PAGEREF _Toc384377944 \h </w:instrText>
        </w:r>
        <w:r w:rsidR="00691E54">
          <w:rPr>
            <w:noProof/>
            <w:webHidden/>
          </w:rPr>
        </w:r>
        <w:r w:rsidR="00691E54">
          <w:rPr>
            <w:noProof/>
            <w:webHidden/>
          </w:rPr>
          <w:fldChar w:fldCharType="separate"/>
        </w:r>
        <w:r w:rsidR="00461C20">
          <w:rPr>
            <w:noProof/>
            <w:webHidden/>
          </w:rPr>
          <w:t>3</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5" w:history="1">
        <w:r w:rsidR="00691E54" w:rsidRPr="00297222">
          <w:rPr>
            <w:rStyle w:val="Hyperlink"/>
            <w:noProof/>
          </w:rPr>
          <w:t>4.8.</w:t>
        </w:r>
        <w:r w:rsidR="00691E54">
          <w:rPr>
            <w:rFonts w:asciiTheme="minorHAnsi" w:eastAsiaTheme="minorEastAsia" w:hAnsiTheme="minorHAnsi"/>
            <w:noProof/>
            <w:sz w:val="22"/>
          </w:rPr>
          <w:tab/>
        </w:r>
        <w:r w:rsidR="00691E54" w:rsidRPr="00297222">
          <w:rPr>
            <w:rStyle w:val="Hyperlink"/>
            <w:noProof/>
          </w:rPr>
          <w:t>Field Duplicates</w:t>
        </w:r>
        <w:r w:rsidR="00691E54">
          <w:rPr>
            <w:noProof/>
            <w:webHidden/>
          </w:rPr>
          <w:tab/>
        </w:r>
        <w:r w:rsidR="00691E54">
          <w:rPr>
            <w:noProof/>
            <w:webHidden/>
          </w:rPr>
          <w:fldChar w:fldCharType="begin"/>
        </w:r>
        <w:r w:rsidR="00691E54">
          <w:rPr>
            <w:noProof/>
            <w:webHidden/>
          </w:rPr>
          <w:instrText xml:space="preserve"> PAGEREF _Toc384377945 \h </w:instrText>
        </w:r>
        <w:r w:rsidR="00691E54">
          <w:rPr>
            <w:noProof/>
            <w:webHidden/>
          </w:rPr>
        </w:r>
        <w:r w:rsidR="00691E54">
          <w:rPr>
            <w:noProof/>
            <w:webHidden/>
          </w:rPr>
          <w:fldChar w:fldCharType="separate"/>
        </w:r>
        <w:r w:rsidR="00461C20">
          <w:rPr>
            <w:noProof/>
            <w:webHidden/>
          </w:rPr>
          <w:t>4</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6" w:history="1">
        <w:r w:rsidR="00691E54" w:rsidRPr="00297222">
          <w:rPr>
            <w:rStyle w:val="Hyperlink"/>
            <w:noProof/>
          </w:rPr>
          <w:t>4.9.</w:t>
        </w:r>
        <w:r w:rsidR="00691E54">
          <w:rPr>
            <w:rFonts w:asciiTheme="minorHAnsi" w:eastAsiaTheme="minorEastAsia" w:hAnsiTheme="minorHAnsi"/>
            <w:noProof/>
            <w:sz w:val="22"/>
          </w:rPr>
          <w:tab/>
        </w:r>
        <w:r w:rsidR="00691E54" w:rsidRPr="00297222">
          <w:rPr>
            <w:rStyle w:val="Hyperlink"/>
            <w:noProof/>
          </w:rPr>
          <w:t>Laboratory Control Sample (LCS) and LCS Duplicates (LCSD)</w:t>
        </w:r>
        <w:r w:rsidR="00691E54">
          <w:rPr>
            <w:noProof/>
            <w:webHidden/>
          </w:rPr>
          <w:tab/>
        </w:r>
        <w:r w:rsidR="00691E54">
          <w:rPr>
            <w:noProof/>
            <w:webHidden/>
          </w:rPr>
          <w:fldChar w:fldCharType="begin"/>
        </w:r>
        <w:r w:rsidR="00691E54">
          <w:rPr>
            <w:noProof/>
            <w:webHidden/>
          </w:rPr>
          <w:instrText xml:space="preserve"> PAGEREF _Toc384377946 \h </w:instrText>
        </w:r>
        <w:r w:rsidR="00691E54">
          <w:rPr>
            <w:noProof/>
            <w:webHidden/>
          </w:rPr>
        </w:r>
        <w:r w:rsidR="00691E54">
          <w:rPr>
            <w:noProof/>
            <w:webHidden/>
          </w:rPr>
          <w:fldChar w:fldCharType="separate"/>
        </w:r>
        <w:r w:rsidR="00461C20">
          <w:rPr>
            <w:noProof/>
            <w:webHidden/>
          </w:rPr>
          <w:t>4</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7" w:history="1">
        <w:r w:rsidR="00691E54" w:rsidRPr="00297222">
          <w:rPr>
            <w:rStyle w:val="Hyperlink"/>
            <w:noProof/>
          </w:rPr>
          <w:t>4.10.</w:t>
        </w:r>
        <w:r w:rsidR="00691E54">
          <w:rPr>
            <w:rFonts w:asciiTheme="minorHAnsi" w:eastAsiaTheme="minorEastAsia" w:hAnsiTheme="minorHAnsi"/>
            <w:noProof/>
            <w:sz w:val="22"/>
          </w:rPr>
          <w:tab/>
        </w:r>
        <w:r w:rsidR="00691E54" w:rsidRPr="00297222">
          <w:rPr>
            <w:rStyle w:val="Hyperlink"/>
            <w:noProof/>
          </w:rPr>
          <w:t>Sample Dilution</w:t>
        </w:r>
        <w:r w:rsidR="00691E54">
          <w:rPr>
            <w:noProof/>
            <w:webHidden/>
          </w:rPr>
          <w:tab/>
        </w:r>
        <w:r w:rsidR="00691E54">
          <w:rPr>
            <w:noProof/>
            <w:webHidden/>
          </w:rPr>
          <w:fldChar w:fldCharType="begin"/>
        </w:r>
        <w:r w:rsidR="00691E54">
          <w:rPr>
            <w:noProof/>
            <w:webHidden/>
          </w:rPr>
          <w:instrText xml:space="preserve"> PAGEREF _Toc384377947 \h </w:instrText>
        </w:r>
        <w:r w:rsidR="00691E54">
          <w:rPr>
            <w:noProof/>
            <w:webHidden/>
          </w:rPr>
        </w:r>
        <w:r w:rsidR="00691E54">
          <w:rPr>
            <w:noProof/>
            <w:webHidden/>
          </w:rPr>
          <w:fldChar w:fldCharType="separate"/>
        </w:r>
        <w:r w:rsidR="00461C20">
          <w:rPr>
            <w:noProof/>
            <w:webHidden/>
          </w:rPr>
          <w:t>4</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8" w:history="1">
        <w:r w:rsidR="00691E54" w:rsidRPr="00297222">
          <w:rPr>
            <w:rStyle w:val="Hyperlink"/>
            <w:noProof/>
          </w:rPr>
          <w:t>4.11.</w:t>
        </w:r>
        <w:r w:rsidR="00691E54">
          <w:rPr>
            <w:rFonts w:asciiTheme="minorHAnsi" w:eastAsiaTheme="minorEastAsia" w:hAnsiTheme="minorHAnsi"/>
            <w:noProof/>
            <w:sz w:val="22"/>
          </w:rPr>
          <w:tab/>
        </w:r>
        <w:r w:rsidR="00691E54" w:rsidRPr="00297222">
          <w:rPr>
            <w:rStyle w:val="Hyperlink"/>
            <w:noProof/>
          </w:rPr>
          <w:t>Re-extraction and Re-analysis</w:t>
        </w:r>
        <w:r w:rsidR="00691E54">
          <w:rPr>
            <w:noProof/>
            <w:webHidden/>
          </w:rPr>
          <w:tab/>
        </w:r>
        <w:r w:rsidR="00691E54">
          <w:rPr>
            <w:noProof/>
            <w:webHidden/>
          </w:rPr>
          <w:fldChar w:fldCharType="begin"/>
        </w:r>
        <w:r w:rsidR="00691E54">
          <w:rPr>
            <w:noProof/>
            <w:webHidden/>
          </w:rPr>
          <w:instrText xml:space="preserve"> PAGEREF _Toc384377948 \h </w:instrText>
        </w:r>
        <w:r w:rsidR="00691E54">
          <w:rPr>
            <w:noProof/>
            <w:webHidden/>
          </w:rPr>
        </w:r>
        <w:r w:rsidR="00691E54">
          <w:rPr>
            <w:noProof/>
            <w:webHidden/>
          </w:rPr>
          <w:fldChar w:fldCharType="separate"/>
        </w:r>
        <w:r w:rsidR="00461C20">
          <w:rPr>
            <w:noProof/>
            <w:webHidden/>
          </w:rPr>
          <w:t>4</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49" w:history="1">
        <w:r w:rsidR="00691E54" w:rsidRPr="00297222">
          <w:rPr>
            <w:rStyle w:val="Hyperlink"/>
            <w:noProof/>
          </w:rPr>
          <w:t>4.12.</w:t>
        </w:r>
        <w:r w:rsidR="00691E54">
          <w:rPr>
            <w:rFonts w:asciiTheme="minorHAnsi" w:eastAsiaTheme="minorEastAsia" w:hAnsiTheme="minorHAnsi"/>
            <w:noProof/>
            <w:sz w:val="22"/>
          </w:rPr>
          <w:tab/>
        </w:r>
        <w:r w:rsidR="00691E54" w:rsidRPr="00297222">
          <w:rPr>
            <w:rStyle w:val="Hyperlink"/>
            <w:noProof/>
          </w:rPr>
          <w:t>Analyte Quantitation and Reported Detection Limit</w:t>
        </w:r>
        <w:r w:rsidR="00691E54">
          <w:rPr>
            <w:noProof/>
            <w:webHidden/>
          </w:rPr>
          <w:tab/>
        </w:r>
        <w:r w:rsidR="00691E54">
          <w:rPr>
            <w:noProof/>
            <w:webHidden/>
          </w:rPr>
          <w:fldChar w:fldCharType="begin"/>
        </w:r>
        <w:r w:rsidR="00691E54">
          <w:rPr>
            <w:noProof/>
            <w:webHidden/>
          </w:rPr>
          <w:instrText xml:space="preserve"> PAGEREF _Toc384377949 \h </w:instrText>
        </w:r>
        <w:r w:rsidR="00691E54">
          <w:rPr>
            <w:noProof/>
            <w:webHidden/>
          </w:rPr>
        </w:r>
        <w:r w:rsidR="00691E54">
          <w:rPr>
            <w:noProof/>
            <w:webHidden/>
          </w:rPr>
          <w:fldChar w:fldCharType="separate"/>
        </w:r>
        <w:r w:rsidR="00461C20">
          <w:rPr>
            <w:noProof/>
            <w:webHidden/>
          </w:rPr>
          <w:t>4</w:t>
        </w:r>
        <w:r w:rsidR="00691E54">
          <w:rPr>
            <w:noProof/>
            <w:webHidden/>
          </w:rPr>
          <w:fldChar w:fldCharType="end"/>
        </w:r>
      </w:hyperlink>
    </w:p>
    <w:p w:rsidR="00691E54" w:rsidRDefault="002B6459">
      <w:pPr>
        <w:pStyle w:val="TOC2"/>
        <w:tabs>
          <w:tab w:val="left" w:pos="1440"/>
          <w:tab w:val="right" w:leader="dot" w:pos="9350"/>
        </w:tabs>
        <w:rPr>
          <w:rFonts w:asciiTheme="minorHAnsi" w:eastAsiaTheme="minorEastAsia" w:hAnsiTheme="minorHAnsi"/>
          <w:noProof/>
          <w:sz w:val="22"/>
        </w:rPr>
      </w:pPr>
      <w:hyperlink w:anchor="_Toc384377950" w:history="1">
        <w:r w:rsidR="00691E54" w:rsidRPr="00297222">
          <w:rPr>
            <w:rStyle w:val="Hyperlink"/>
            <w:noProof/>
          </w:rPr>
          <w:t>4.13.</w:t>
        </w:r>
        <w:r w:rsidR="00691E54">
          <w:rPr>
            <w:rFonts w:asciiTheme="minorHAnsi" w:eastAsiaTheme="minorEastAsia" w:hAnsiTheme="minorHAnsi"/>
            <w:noProof/>
            <w:sz w:val="22"/>
          </w:rPr>
          <w:tab/>
        </w:r>
        <w:r w:rsidR="00691E54" w:rsidRPr="00297222">
          <w:rPr>
            <w:rStyle w:val="Hyperlink"/>
            <w:noProof/>
          </w:rPr>
          <w:t>Overall Assessment of Data</w:t>
        </w:r>
        <w:r w:rsidR="00691E54">
          <w:rPr>
            <w:noProof/>
            <w:webHidden/>
          </w:rPr>
          <w:tab/>
        </w:r>
        <w:r w:rsidR="00691E54">
          <w:rPr>
            <w:noProof/>
            <w:webHidden/>
          </w:rPr>
          <w:fldChar w:fldCharType="begin"/>
        </w:r>
        <w:r w:rsidR="00691E54">
          <w:rPr>
            <w:noProof/>
            <w:webHidden/>
          </w:rPr>
          <w:instrText xml:space="preserve"> PAGEREF _Toc384377950 \h </w:instrText>
        </w:r>
        <w:r w:rsidR="00691E54">
          <w:rPr>
            <w:noProof/>
            <w:webHidden/>
          </w:rPr>
        </w:r>
        <w:r w:rsidR="00691E54">
          <w:rPr>
            <w:noProof/>
            <w:webHidden/>
          </w:rPr>
          <w:fldChar w:fldCharType="separate"/>
        </w:r>
        <w:r w:rsidR="00461C20">
          <w:rPr>
            <w:noProof/>
            <w:webHidden/>
          </w:rPr>
          <w:t>4</w:t>
        </w:r>
        <w:r w:rsidR="00691E54">
          <w:rPr>
            <w:noProof/>
            <w:webHidden/>
          </w:rPr>
          <w:fldChar w:fldCharType="end"/>
        </w:r>
      </w:hyperlink>
    </w:p>
    <w:p w:rsidR="00691E54" w:rsidRDefault="002B6459">
      <w:pPr>
        <w:pStyle w:val="TOC1"/>
        <w:tabs>
          <w:tab w:val="right" w:leader="dot" w:pos="9350"/>
        </w:tabs>
        <w:rPr>
          <w:rFonts w:asciiTheme="minorHAnsi" w:eastAsiaTheme="minorEastAsia" w:hAnsiTheme="minorHAnsi"/>
          <w:b w:val="0"/>
          <w:noProof/>
          <w:sz w:val="22"/>
        </w:rPr>
      </w:pPr>
      <w:hyperlink w:anchor="_Toc384377951" w:history="1">
        <w:r w:rsidR="00691E54" w:rsidRPr="00297222">
          <w:rPr>
            <w:rStyle w:val="Hyperlink"/>
            <w:noProof/>
          </w:rPr>
          <w:t>5.</w:t>
        </w:r>
        <w:r w:rsidR="00691E54">
          <w:rPr>
            <w:rFonts w:asciiTheme="minorHAnsi" w:eastAsiaTheme="minorEastAsia" w:hAnsiTheme="minorHAnsi"/>
            <w:b w:val="0"/>
            <w:noProof/>
            <w:sz w:val="22"/>
          </w:rPr>
          <w:tab/>
        </w:r>
        <w:r w:rsidR="00691E54" w:rsidRPr="00297222">
          <w:rPr>
            <w:rStyle w:val="Hyperlink"/>
            <w:noProof/>
          </w:rPr>
          <w:t>Literature Cited</w:t>
        </w:r>
        <w:r w:rsidR="00691E54">
          <w:rPr>
            <w:noProof/>
            <w:webHidden/>
          </w:rPr>
          <w:tab/>
        </w:r>
        <w:r w:rsidR="00691E54">
          <w:rPr>
            <w:noProof/>
            <w:webHidden/>
          </w:rPr>
          <w:fldChar w:fldCharType="begin"/>
        </w:r>
        <w:r w:rsidR="00691E54">
          <w:rPr>
            <w:noProof/>
            <w:webHidden/>
          </w:rPr>
          <w:instrText xml:space="preserve"> PAGEREF _Toc384377951 \h </w:instrText>
        </w:r>
        <w:r w:rsidR="00691E54">
          <w:rPr>
            <w:noProof/>
            <w:webHidden/>
          </w:rPr>
        </w:r>
        <w:r w:rsidR="00691E54">
          <w:rPr>
            <w:noProof/>
            <w:webHidden/>
          </w:rPr>
          <w:fldChar w:fldCharType="separate"/>
        </w:r>
        <w:r w:rsidR="00461C20">
          <w:rPr>
            <w:noProof/>
            <w:webHidden/>
          </w:rPr>
          <w:t>4</w:t>
        </w:r>
        <w:r w:rsidR="00691E54">
          <w:rPr>
            <w:noProof/>
            <w:webHidden/>
          </w:rPr>
          <w:fldChar w:fldCharType="end"/>
        </w:r>
      </w:hyperlink>
    </w:p>
    <w:p w:rsidR="00691E54" w:rsidRDefault="002B6459">
      <w:pPr>
        <w:pStyle w:val="TOC1"/>
        <w:tabs>
          <w:tab w:val="right" w:leader="dot" w:pos="9350"/>
        </w:tabs>
        <w:rPr>
          <w:rFonts w:asciiTheme="minorHAnsi" w:eastAsiaTheme="minorEastAsia" w:hAnsiTheme="minorHAnsi"/>
          <w:b w:val="0"/>
          <w:noProof/>
          <w:sz w:val="22"/>
        </w:rPr>
      </w:pPr>
      <w:hyperlink w:anchor="_Toc384377952" w:history="1">
        <w:r w:rsidR="00691E54" w:rsidRPr="00297222">
          <w:rPr>
            <w:rStyle w:val="Hyperlink"/>
            <w:noProof/>
          </w:rPr>
          <w:t>6.</w:t>
        </w:r>
        <w:r w:rsidR="00691E54">
          <w:rPr>
            <w:rFonts w:asciiTheme="minorHAnsi" w:eastAsiaTheme="minorEastAsia" w:hAnsiTheme="minorHAnsi"/>
            <w:b w:val="0"/>
            <w:noProof/>
            <w:sz w:val="22"/>
          </w:rPr>
          <w:tab/>
        </w:r>
        <w:r w:rsidR="00691E54" w:rsidRPr="00297222">
          <w:rPr>
            <w:rStyle w:val="Hyperlink"/>
            <w:noProof/>
          </w:rPr>
          <w:t>Tables</w:t>
        </w:r>
        <w:r w:rsidR="00691E54">
          <w:rPr>
            <w:noProof/>
            <w:webHidden/>
          </w:rPr>
          <w:tab/>
        </w:r>
        <w:r w:rsidR="00691E54">
          <w:rPr>
            <w:noProof/>
            <w:webHidden/>
          </w:rPr>
          <w:fldChar w:fldCharType="begin"/>
        </w:r>
        <w:r w:rsidR="00691E54">
          <w:rPr>
            <w:noProof/>
            <w:webHidden/>
          </w:rPr>
          <w:instrText xml:space="preserve"> PAGEREF _Toc384377952 \h </w:instrText>
        </w:r>
        <w:r w:rsidR="00691E54">
          <w:rPr>
            <w:noProof/>
            <w:webHidden/>
          </w:rPr>
        </w:r>
        <w:r w:rsidR="00691E54">
          <w:rPr>
            <w:noProof/>
            <w:webHidden/>
          </w:rPr>
          <w:fldChar w:fldCharType="separate"/>
        </w:r>
        <w:r w:rsidR="00461C20">
          <w:rPr>
            <w:noProof/>
            <w:webHidden/>
          </w:rPr>
          <w:t>4</w:t>
        </w:r>
        <w:r w:rsidR="00691E54">
          <w:rPr>
            <w:noProof/>
            <w:webHidden/>
          </w:rPr>
          <w:fldChar w:fldCharType="end"/>
        </w:r>
      </w:hyperlink>
    </w:p>
    <w:p w:rsidR="00AA7817" w:rsidRDefault="0092490C" w:rsidP="00AA7817">
      <w:r>
        <w:fldChar w:fldCharType="end"/>
      </w:r>
    </w:p>
    <w:p w:rsidR="00133347" w:rsidRPr="00691E54" w:rsidRDefault="00821D0F" w:rsidP="00691E54">
      <w:pPr>
        <w:spacing w:after="200" w:line="276" w:lineRule="auto"/>
        <w:rPr>
          <w:rFonts w:ascii="Arial" w:hAnsi="Arial"/>
          <w:caps/>
          <w:sz w:val="28"/>
        </w:rPr>
      </w:pPr>
      <w:r>
        <w:br w:type="page"/>
      </w:r>
    </w:p>
    <w:p w:rsidR="00133347" w:rsidRDefault="002D689D" w:rsidP="00133347">
      <w:pPr>
        <w:pStyle w:val="TOCSectionHead"/>
      </w:pPr>
      <w:r>
        <w:lastRenderedPageBreak/>
        <w:t>ATTACHMENTS</w:t>
      </w:r>
    </w:p>
    <w:p w:rsidR="00EA3D88" w:rsidRPr="00EA3D88" w:rsidRDefault="002D689D" w:rsidP="00EA3D88">
      <w:pPr>
        <w:tabs>
          <w:tab w:val="center" w:pos="4680"/>
          <w:tab w:val="left" w:pos="5040"/>
          <w:tab w:val="left" w:pos="5760"/>
          <w:tab w:val="left" w:pos="6480"/>
          <w:tab w:val="left" w:pos="7200"/>
          <w:tab w:val="left" w:pos="7920"/>
          <w:tab w:val="left" w:pos="8640"/>
          <w:tab w:val="left" w:pos="9360"/>
        </w:tabs>
        <w:rPr>
          <w:rFonts w:eastAsia="Times New Roman" w:cs="Times New Roman"/>
          <w:b/>
          <w:sz w:val="22"/>
          <w:szCs w:val="20"/>
        </w:rPr>
      </w:pPr>
      <w:r>
        <w:t>Attachment</w:t>
      </w:r>
      <w:r w:rsidR="000E71F6">
        <w:t xml:space="preserve"> A: </w:t>
      </w:r>
      <w:r w:rsidR="001B39B3">
        <w:t xml:space="preserve">Analytical </w:t>
      </w:r>
      <w:r w:rsidR="00EA3D88" w:rsidRPr="00EA3D88">
        <w:rPr>
          <w:rFonts w:eastAsia="Times New Roman" w:cs="Times New Roman"/>
          <w:szCs w:val="24"/>
        </w:rPr>
        <w:t xml:space="preserve">Results with Hand-entered Data Qualifiers for </w:t>
      </w:r>
      <w:r w:rsidR="00EA3D88" w:rsidRPr="00EA3D88">
        <w:rPr>
          <w:rFonts w:eastAsia="Times New Roman" w:cs="Times New Roman"/>
          <w:bCs/>
          <w:color w:val="000000"/>
          <w:szCs w:val="24"/>
        </w:rPr>
        <w:t>SDG 1132</w:t>
      </w:r>
      <w:r w:rsidR="00C83287">
        <w:rPr>
          <w:rFonts w:eastAsia="Times New Roman" w:cs="Times New Roman"/>
          <w:bCs/>
          <w:color w:val="000000"/>
          <w:szCs w:val="24"/>
        </w:rPr>
        <w:t>615</w:t>
      </w:r>
    </w:p>
    <w:p w:rsidR="00EA3D88" w:rsidRPr="00EA3D88" w:rsidRDefault="002D689D" w:rsidP="00EA3D88">
      <w:pPr>
        <w:tabs>
          <w:tab w:val="center" w:pos="4680"/>
          <w:tab w:val="left" w:pos="5040"/>
          <w:tab w:val="left" w:pos="5760"/>
          <w:tab w:val="left" w:pos="6480"/>
          <w:tab w:val="left" w:pos="7200"/>
          <w:tab w:val="left" w:pos="7920"/>
          <w:tab w:val="left" w:pos="8640"/>
          <w:tab w:val="left" w:pos="9360"/>
        </w:tabs>
        <w:rPr>
          <w:rFonts w:eastAsia="Times New Roman" w:cs="Times New Roman"/>
          <w:szCs w:val="24"/>
        </w:rPr>
      </w:pPr>
      <w:r>
        <w:t>Attachment</w:t>
      </w:r>
      <w:r w:rsidR="000E71F6">
        <w:t xml:space="preserve"> B: </w:t>
      </w:r>
      <w:r w:rsidR="00EA3D88" w:rsidRPr="00EA3D88">
        <w:rPr>
          <w:rFonts w:eastAsia="Times New Roman" w:cs="Times New Roman"/>
          <w:szCs w:val="24"/>
        </w:rPr>
        <w:t xml:space="preserve">Chain-of-Custody Documentation for </w:t>
      </w:r>
      <w:r w:rsidR="00EA3D88" w:rsidRPr="00EA3D88">
        <w:rPr>
          <w:rFonts w:eastAsia="Times New Roman" w:cs="Times New Roman"/>
          <w:bCs/>
          <w:color w:val="000000"/>
          <w:szCs w:val="24"/>
        </w:rPr>
        <w:t>SDG 1132</w:t>
      </w:r>
      <w:r w:rsidR="00C83287">
        <w:rPr>
          <w:rFonts w:eastAsia="Times New Roman" w:cs="Times New Roman"/>
          <w:bCs/>
          <w:color w:val="000000"/>
          <w:szCs w:val="24"/>
        </w:rPr>
        <w:t>615</w:t>
      </w:r>
    </w:p>
    <w:p w:rsidR="000E71F6" w:rsidRDefault="000E71F6" w:rsidP="00327D17">
      <w:pPr>
        <w:spacing w:after="120"/>
      </w:pPr>
    </w:p>
    <w:p w:rsidR="00133347" w:rsidRDefault="00133347" w:rsidP="00AA7817"/>
    <w:p w:rsidR="00133347" w:rsidRDefault="00133347" w:rsidP="00AA7817"/>
    <w:p w:rsidR="00133347" w:rsidRDefault="00133347" w:rsidP="00AA7817"/>
    <w:p w:rsidR="00133347" w:rsidRDefault="00133347">
      <w:pPr>
        <w:spacing w:after="200" w:line="276" w:lineRule="auto"/>
      </w:pPr>
      <w:r>
        <w:br w:type="page"/>
      </w:r>
    </w:p>
    <w:p w:rsidR="00133347" w:rsidRDefault="00133347" w:rsidP="00133347">
      <w:pPr>
        <w:pStyle w:val="TOCSectionHead"/>
      </w:pPr>
      <w:r>
        <w:lastRenderedPageBreak/>
        <w:t>List of Acronyms</w:t>
      </w:r>
      <w:r w:rsidR="005B1EC3">
        <w:t>,</w:t>
      </w:r>
      <w:r>
        <w:t xml:space="preserve"> </w:t>
      </w:r>
      <w:r w:rsidR="00BF1177">
        <w:t>Abbreviations</w:t>
      </w:r>
      <w:r w:rsidR="005B1EC3">
        <w:t>, and definitions</w:t>
      </w:r>
    </w:p>
    <w:tbl>
      <w:tblPr>
        <w:tblStyle w:val="TableGrid"/>
        <w:tblW w:w="0" w:type="auto"/>
        <w:tblLook w:val="04A0" w:firstRow="1" w:lastRow="0" w:firstColumn="1" w:lastColumn="0" w:noHBand="0" w:noVBand="1"/>
      </w:tblPr>
      <w:tblGrid>
        <w:gridCol w:w="2628"/>
        <w:gridCol w:w="6948"/>
      </w:tblGrid>
      <w:tr w:rsidR="00E84A87" w:rsidRPr="009C6C0B" w:rsidTr="00E84A87">
        <w:trPr>
          <w:trHeight w:val="259"/>
        </w:trPr>
        <w:tc>
          <w:tcPr>
            <w:tcW w:w="2628" w:type="dxa"/>
            <w:shd w:val="clear" w:color="auto" w:fill="BFBFBF" w:themeFill="background1" w:themeFillShade="BF"/>
            <w:vAlign w:val="center"/>
          </w:tcPr>
          <w:p w:rsidR="00E84A87" w:rsidRPr="00133347" w:rsidRDefault="00E84A87" w:rsidP="00BA595D">
            <w:pPr>
              <w:pStyle w:val="Heading6"/>
              <w:outlineLvl w:val="5"/>
            </w:pPr>
            <w:r>
              <w:t>Abbreviation</w:t>
            </w:r>
          </w:p>
        </w:tc>
        <w:tc>
          <w:tcPr>
            <w:tcW w:w="6948" w:type="dxa"/>
            <w:shd w:val="clear" w:color="auto" w:fill="BFBFBF" w:themeFill="background1" w:themeFillShade="BF"/>
            <w:vAlign w:val="center"/>
          </w:tcPr>
          <w:p w:rsidR="00E84A87" w:rsidRPr="00133347" w:rsidRDefault="00E84A87" w:rsidP="00BA595D">
            <w:pPr>
              <w:pStyle w:val="Heading6"/>
              <w:outlineLvl w:val="5"/>
            </w:pPr>
            <w:r w:rsidRPr="00133347">
              <w:t>Definition</w:t>
            </w:r>
          </w:p>
        </w:tc>
      </w:tr>
      <w:tr w:rsidR="00E84A87" w:rsidRPr="009C6C0B" w:rsidTr="00BA595D">
        <w:trPr>
          <w:trHeight w:val="259"/>
        </w:trPr>
        <w:tc>
          <w:tcPr>
            <w:tcW w:w="2628" w:type="dxa"/>
          </w:tcPr>
          <w:p w:rsidR="00E84A87" w:rsidRDefault="00E84A87" w:rsidP="00BA595D">
            <w:pPr>
              <w:pStyle w:val="TableText"/>
            </w:pPr>
            <w:r>
              <w:rPr>
                <w:color w:val="000000"/>
              </w:rPr>
              <w:t>ADEC</w:t>
            </w:r>
          </w:p>
        </w:tc>
        <w:tc>
          <w:tcPr>
            <w:tcW w:w="6948" w:type="dxa"/>
          </w:tcPr>
          <w:p w:rsidR="00E84A87" w:rsidRPr="009C6C0B" w:rsidRDefault="00E84A87" w:rsidP="00BA595D">
            <w:pPr>
              <w:pStyle w:val="TableText"/>
              <w:rPr>
                <w:szCs w:val="20"/>
              </w:rPr>
            </w:pPr>
            <w:r w:rsidRPr="009C6C0B">
              <w:rPr>
                <w:rFonts w:eastAsia="Times New Roman" w:cs="Times New Roman"/>
                <w:szCs w:val="20"/>
              </w:rPr>
              <w:t>Alaska Department of Environmental Conservation</w:t>
            </w:r>
          </w:p>
        </w:tc>
      </w:tr>
      <w:tr w:rsidR="00E84A87" w:rsidRPr="009C6C0B" w:rsidTr="00BA595D">
        <w:trPr>
          <w:trHeight w:val="259"/>
        </w:trPr>
        <w:tc>
          <w:tcPr>
            <w:tcW w:w="2628" w:type="dxa"/>
          </w:tcPr>
          <w:p w:rsidR="00E84A87" w:rsidRPr="00E84A87" w:rsidRDefault="00E84A87" w:rsidP="00BA595D">
            <w:pPr>
              <w:pStyle w:val="TableText"/>
              <w:rPr>
                <w:szCs w:val="20"/>
              </w:rPr>
            </w:pPr>
            <w:r w:rsidRPr="00E84A87">
              <w:rPr>
                <w:szCs w:val="20"/>
              </w:rPr>
              <w:t>CLP</w:t>
            </w:r>
          </w:p>
        </w:tc>
        <w:tc>
          <w:tcPr>
            <w:tcW w:w="6948" w:type="dxa"/>
          </w:tcPr>
          <w:p w:rsidR="00E84A87" w:rsidRPr="00E84A87" w:rsidRDefault="00E84A87" w:rsidP="00BA595D">
            <w:pPr>
              <w:pStyle w:val="TableText"/>
              <w:rPr>
                <w:szCs w:val="20"/>
              </w:rPr>
            </w:pPr>
            <w:r w:rsidRPr="00E84A87">
              <w:rPr>
                <w:szCs w:val="20"/>
              </w:rPr>
              <w:t>C</w:t>
            </w:r>
            <w:r w:rsidRPr="00E84A87">
              <w:rPr>
                <w:rStyle w:val="Strong"/>
                <w:rFonts w:cs="Times New Roman"/>
                <w:b w:val="0"/>
                <w:szCs w:val="20"/>
              </w:rPr>
              <w:t>ontract Laboratory Program</w:t>
            </w:r>
          </w:p>
        </w:tc>
      </w:tr>
      <w:tr w:rsidR="00E84A87" w:rsidTr="00BA595D">
        <w:trPr>
          <w:trHeight w:val="259"/>
        </w:trPr>
        <w:tc>
          <w:tcPr>
            <w:tcW w:w="2628" w:type="dxa"/>
          </w:tcPr>
          <w:p w:rsidR="00E84A87" w:rsidRDefault="00E84A87" w:rsidP="00BA595D">
            <w:pPr>
              <w:pStyle w:val="TableText"/>
            </w:pPr>
            <w:r>
              <w:t>COC</w:t>
            </w:r>
          </w:p>
        </w:tc>
        <w:tc>
          <w:tcPr>
            <w:tcW w:w="6948" w:type="dxa"/>
          </w:tcPr>
          <w:p w:rsidR="00E84A87" w:rsidRDefault="00E84A87" w:rsidP="00BA595D">
            <w:pPr>
              <w:pStyle w:val="TableText"/>
            </w:pPr>
            <w:r>
              <w:t>Chain of Custody</w:t>
            </w:r>
          </w:p>
        </w:tc>
      </w:tr>
      <w:tr w:rsidR="00E84A87" w:rsidTr="00BA595D">
        <w:trPr>
          <w:trHeight w:val="259"/>
        </w:trPr>
        <w:tc>
          <w:tcPr>
            <w:tcW w:w="2628" w:type="dxa"/>
          </w:tcPr>
          <w:p w:rsidR="00E84A87" w:rsidRDefault="00E84A87" w:rsidP="00BA595D">
            <w:pPr>
              <w:pStyle w:val="TableText"/>
            </w:pPr>
            <w:r>
              <w:t>DOC</w:t>
            </w:r>
          </w:p>
        </w:tc>
        <w:tc>
          <w:tcPr>
            <w:tcW w:w="6948" w:type="dxa"/>
          </w:tcPr>
          <w:p w:rsidR="00E84A87" w:rsidRDefault="00E84A87" w:rsidP="00BA595D">
            <w:pPr>
              <w:pStyle w:val="TableText"/>
            </w:pPr>
            <w:r>
              <w:t>Dissolved Organic Carbon</w:t>
            </w:r>
          </w:p>
        </w:tc>
      </w:tr>
      <w:tr w:rsidR="00E84A87" w:rsidTr="00BA595D">
        <w:trPr>
          <w:trHeight w:val="259"/>
        </w:trPr>
        <w:tc>
          <w:tcPr>
            <w:tcW w:w="2628" w:type="dxa"/>
          </w:tcPr>
          <w:p w:rsidR="00E84A87" w:rsidRDefault="00E84A87" w:rsidP="00BA595D">
            <w:pPr>
              <w:pStyle w:val="TableText"/>
            </w:pPr>
            <w:r>
              <w:t>EPA</w:t>
            </w:r>
          </w:p>
        </w:tc>
        <w:tc>
          <w:tcPr>
            <w:tcW w:w="6948" w:type="dxa"/>
          </w:tcPr>
          <w:p w:rsidR="00E84A87" w:rsidRDefault="00E84A87" w:rsidP="00BA595D">
            <w:pPr>
              <w:pStyle w:val="TableText"/>
            </w:pPr>
            <w:r>
              <w:t>Environmental Protection Agency</w:t>
            </w:r>
          </w:p>
        </w:tc>
      </w:tr>
      <w:tr w:rsidR="00E84A87" w:rsidTr="00BA595D">
        <w:trPr>
          <w:trHeight w:val="259"/>
        </w:trPr>
        <w:tc>
          <w:tcPr>
            <w:tcW w:w="2628" w:type="dxa"/>
          </w:tcPr>
          <w:p w:rsidR="00E84A87" w:rsidRPr="00E84A87" w:rsidRDefault="00E84A87" w:rsidP="00BA595D">
            <w:pPr>
              <w:pStyle w:val="TableText"/>
            </w:pPr>
            <w:r w:rsidRPr="00E84A87">
              <w:t>ICP</w:t>
            </w:r>
          </w:p>
        </w:tc>
        <w:tc>
          <w:tcPr>
            <w:tcW w:w="6948" w:type="dxa"/>
          </w:tcPr>
          <w:p w:rsidR="00E84A87" w:rsidRPr="00E84A87" w:rsidRDefault="00E84A87" w:rsidP="00BA595D">
            <w:pPr>
              <w:pStyle w:val="TableText"/>
            </w:pPr>
            <w:r w:rsidRPr="00E84A87">
              <w:rPr>
                <w:rStyle w:val="Emphasis"/>
                <w:rFonts w:cs="Arial"/>
                <w:b w:val="0"/>
                <w:color w:val="222222"/>
              </w:rPr>
              <w:t>Inductively coupled plasma</w:t>
            </w:r>
          </w:p>
        </w:tc>
      </w:tr>
      <w:tr w:rsidR="00E84A87" w:rsidTr="00BA595D">
        <w:trPr>
          <w:trHeight w:val="259"/>
        </w:trPr>
        <w:tc>
          <w:tcPr>
            <w:tcW w:w="2628" w:type="dxa"/>
          </w:tcPr>
          <w:p w:rsidR="00E84A87" w:rsidRDefault="00E84A87" w:rsidP="00BA595D">
            <w:pPr>
              <w:pStyle w:val="TableText"/>
            </w:pPr>
            <w:r>
              <w:t>LCS</w:t>
            </w:r>
          </w:p>
        </w:tc>
        <w:tc>
          <w:tcPr>
            <w:tcW w:w="6948" w:type="dxa"/>
          </w:tcPr>
          <w:p w:rsidR="00E84A87" w:rsidRDefault="00E84A87" w:rsidP="00BA595D">
            <w:pPr>
              <w:pStyle w:val="TableText"/>
            </w:pPr>
            <w:r>
              <w:t>Laboratory control sample</w:t>
            </w:r>
          </w:p>
        </w:tc>
      </w:tr>
      <w:tr w:rsidR="00E84A87" w:rsidTr="00BA595D">
        <w:trPr>
          <w:trHeight w:val="259"/>
        </w:trPr>
        <w:tc>
          <w:tcPr>
            <w:tcW w:w="2628" w:type="dxa"/>
          </w:tcPr>
          <w:p w:rsidR="00E84A87" w:rsidRDefault="00E84A87" w:rsidP="00BA595D">
            <w:pPr>
              <w:pStyle w:val="TableText"/>
            </w:pPr>
            <w:r>
              <w:t>LL</w:t>
            </w:r>
          </w:p>
        </w:tc>
        <w:tc>
          <w:tcPr>
            <w:tcW w:w="6948" w:type="dxa"/>
          </w:tcPr>
          <w:p w:rsidR="00E84A87" w:rsidRDefault="00E84A87" w:rsidP="00BA595D">
            <w:pPr>
              <w:pStyle w:val="TableText"/>
            </w:pPr>
            <w:r>
              <w:t>Low level</w:t>
            </w:r>
          </w:p>
        </w:tc>
      </w:tr>
      <w:tr w:rsidR="00E84A87" w:rsidTr="00BA595D">
        <w:trPr>
          <w:trHeight w:val="259"/>
        </w:trPr>
        <w:tc>
          <w:tcPr>
            <w:tcW w:w="2628" w:type="dxa"/>
          </w:tcPr>
          <w:p w:rsidR="00E84A87" w:rsidRDefault="00E84A87" w:rsidP="00BA595D">
            <w:pPr>
              <w:pStyle w:val="TableText"/>
            </w:pPr>
            <w:r>
              <w:t>MDL</w:t>
            </w:r>
          </w:p>
        </w:tc>
        <w:tc>
          <w:tcPr>
            <w:tcW w:w="6948" w:type="dxa"/>
          </w:tcPr>
          <w:p w:rsidR="00E84A87" w:rsidRDefault="00E84A87" w:rsidP="00BA595D">
            <w:pPr>
              <w:pStyle w:val="TableText"/>
            </w:pPr>
            <w:r>
              <w:t>Minimum detection limit</w:t>
            </w:r>
          </w:p>
        </w:tc>
      </w:tr>
      <w:tr w:rsidR="00E84A87" w:rsidTr="00BA595D">
        <w:trPr>
          <w:trHeight w:val="259"/>
        </w:trPr>
        <w:tc>
          <w:tcPr>
            <w:tcW w:w="2628" w:type="dxa"/>
          </w:tcPr>
          <w:p w:rsidR="00E84A87" w:rsidRDefault="00E84A87" w:rsidP="00BA595D">
            <w:pPr>
              <w:pStyle w:val="TableText"/>
            </w:pPr>
            <w:r>
              <w:t>MS</w:t>
            </w:r>
          </w:p>
        </w:tc>
        <w:tc>
          <w:tcPr>
            <w:tcW w:w="6948" w:type="dxa"/>
          </w:tcPr>
          <w:p w:rsidR="00E84A87" w:rsidRDefault="00E84A87" w:rsidP="00BA595D">
            <w:pPr>
              <w:pStyle w:val="TableText"/>
            </w:pPr>
            <w:r>
              <w:t>Matrix spike</w:t>
            </w:r>
          </w:p>
        </w:tc>
      </w:tr>
      <w:tr w:rsidR="00E84A87" w:rsidTr="00BA595D">
        <w:trPr>
          <w:trHeight w:val="259"/>
        </w:trPr>
        <w:tc>
          <w:tcPr>
            <w:tcW w:w="2628" w:type="dxa"/>
          </w:tcPr>
          <w:p w:rsidR="00E84A87" w:rsidRDefault="00E84A87" w:rsidP="00BA595D">
            <w:pPr>
              <w:pStyle w:val="TableText"/>
            </w:pPr>
            <w:r>
              <w:t>MSD</w:t>
            </w:r>
          </w:p>
        </w:tc>
        <w:tc>
          <w:tcPr>
            <w:tcW w:w="6948" w:type="dxa"/>
          </w:tcPr>
          <w:p w:rsidR="00E84A87" w:rsidRDefault="00E84A87" w:rsidP="00BA595D">
            <w:pPr>
              <w:pStyle w:val="TableText"/>
            </w:pPr>
            <w:r>
              <w:t>Matrix spike duplicate</w:t>
            </w:r>
          </w:p>
        </w:tc>
      </w:tr>
      <w:tr w:rsidR="00E84A87" w:rsidTr="00BA595D">
        <w:trPr>
          <w:trHeight w:val="259"/>
        </w:trPr>
        <w:tc>
          <w:tcPr>
            <w:tcW w:w="2628" w:type="dxa"/>
          </w:tcPr>
          <w:p w:rsidR="00E84A87" w:rsidRDefault="00E84A87" w:rsidP="00BA595D">
            <w:pPr>
              <w:pStyle w:val="TableText"/>
            </w:pPr>
            <w:r>
              <w:t>NFG</w:t>
            </w:r>
          </w:p>
        </w:tc>
        <w:tc>
          <w:tcPr>
            <w:tcW w:w="6948" w:type="dxa"/>
          </w:tcPr>
          <w:p w:rsidR="00E84A87" w:rsidRDefault="00E84A87" w:rsidP="00BA595D">
            <w:pPr>
              <w:pStyle w:val="TableText"/>
            </w:pPr>
            <w:r>
              <w:t>National Functional Guidelines</w:t>
            </w:r>
          </w:p>
        </w:tc>
      </w:tr>
      <w:tr w:rsidR="00E84A87" w:rsidTr="00BA595D">
        <w:trPr>
          <w:trHeight w:val="259"/>
        </w:trPr>
        <w:tc>
          <w:tcPr>
            <w:tcW w:w="2628" w:type="dxa"/>
          </w:tcPr>
          <w:p w:rsidR="00E84A87" w:rsidRDefault="00E84A87" w:rsidP="00BA595D">
            <w:pPr>
              <w:pStyle w:val="TableText"/>
            </w:pPr>
            <w:r>
              <w:t>QAPP</w:t>
            </w:r>
          </w:p>
        </w:tc>
        <w:tc>
          <w:tcPr>
            <w:tcW w:w="6948" w:type="dxa"/>
          </w:tcPr>
          <w:p w:rsidR="00E84A87" w:rsidRDefault="00E84A87" w:rsidP="00BA595D">
            <w:pPr>
              <w:pStyle w:val="TableText"/>
            </w:pPr>
            <w:r>
              <w:t>Quality assurance project plan</w:t>
            </w:r>
          </w:p>
        </w:tc>
      </w:tr>
      <w:tr w:rsidR="00E84A87" w:rsidTr="00BA595D">
        <w:trPr>
          <w:trHeight w:val="259"/>
        </w:trPr>
        <w:tc>
          <w:tcPr>
            <w:tcW w:w="2628" w:type="dxa"/>
          </w:tcPr>
          <w:p w:rsidR="00E84A87" w:rsidRDefault="00E84A87" w:rsidP="00BA595D">
            <w:pPr>
              <w:pStyle w:val="TableText"/>
            </w:pPr>
            <w:r>
              <w:t>QC</w:t>
            </w:r>
          </w:p>
        </w:tc>
        <w:tc>
          <w:tcPr>
            <w:tcW w:w="6948" w:type="dxa"/>
          </w:tcPr>
          <w:p w:rsidR="00E84A87" w:rsidRDefault="00E84A87" w:rsidP="00BA595D">
            <w:pPr>
              <w:pStyle w:val="TableText"/>
            </w:pPr>
            <w:r>
              <w:t>Quality control</w:t>
            </w:r>
          </w:p>
        </w:tc>
      </w:tr>
      <w:tr w:rsidR="00E84A87" w:rsidTr="00BA595D">
        <w:trPr>
          <w:trHeight w:val="259"/>
        </w:trPr>
        <w:tc>
          <w:tcPr>
            <w:tcW w:w="2628" w:type="dxa"/>
          </w:tcPr>
          <w:p w:rsidR="00E84A87" w:rsidRDefault="00E84A87" w:rsidP="00BA595D">
            <w:pPr>
              <w:pStyle w:val="TableText"/>
            </w:pPr>
            <w:r>
              <w:t>RL</w:t>
            </w:r>
          </w:p>
        </w:tc>
        <w:tc>
          <w:tcPr>
            <w:tcW w:w="6948" w:type="dxa"/>
          </w:tcPr>
          <w:p w:rsidR="00E84A87" w:rsidRDefault="00E84A87" w:rsidP="00BA595D">
            <w:pPr>
              <w:pStyle w:val="TableText"/>
            </w:pPr>
            <w:r>
              <w:t>Reporting limit</w:t>
            </w:r>
          </w:p>
        </w:tc>
      </w:tr>
      <w:tr w:rsidR="00E84A87" w:rsidTr="00BA595D">
        <w:trPr>
          <w:trHeight w:val="259"/>
        </w:trPr>
        <w:tc>
          <w:tcPr>
            <w:tcW w:w="2628" w:type="dxa"/>
          </w:tcPr>
          <w:p w:rsidR="00E84A87" w:rsidRDefault="00E84A87" w:rsidP="00BA595D">
            <w:pPr>
              <w:pStyle w:val="TableText"/>
            </w:pPr>
            <w:r>
              <w:t>RPD</w:t>
            </w:r>
          </w:p>
        </w:tc>
        <w:tc>
          <w:tcPr>
            <w:tcW w:w="6948" w:type="dxa"/>
          </w:tcPr>
          <w:p w:rsidR="00E84A87" w:rsidRDefault="00E84A87" w:rsidP="00BA595D">
            <w:pPr>
              <w:pStyle w:val="TableText"/>
            </w:pPr>
            <w:r>
              <w:t>Relative percent difference</w:t>
            </w:r>
          </w:p>
        </w:tc>
      </w:tr>
      <w:tr w:rsidR="00E84A87" w:rsidTr="00BA595D">
        <w:trPr>
          <w:trHeight w:val="259"/>
        </w:trPr>
        <w:tc>
          <w:tcPr>
            <w:tcW w:w="2628" w:type="dxa"/>
          </w:tcPr>
          <w:p w:rsidR="00E84A87" w:rsidRDefault="00E84A87" w:rsidP="00BA595D">
            <w:pPr>
              <w:pStyle w:val="TableText"/>
            </w:pPr>
            <w:r>
              <w:t>SDG</w:t>
            </w:r>
          </w:p>
        </w:tc>
        <w:tc>
          <w:tcPr>
            <w:tcW w:w="6948" w:type="dxa"/>
          </w:tcPr>
          <w:p w:rsidR="00E84A87" w:rsidRDefault="00E84A87" w:rsidP="00540958">
            <w:pPr>
              <w:pStyle w:val="TableText"/>
            </w:pPr>
            <w:r>
              <w:t xml:space="preserve">Sample </w:t>
            </w:r>
            <w:r w:rsidR="00540958">
              <w:t>delivery</w:t>
            </w:r>
            <w:r>
              <w:t xml:space="preserve"> group</w:t>
            </w:r>
          </w:p>
        </w:tc>
      </w:tr>
      <w:tr w:rsidR="00E84A87" w:rsidTr="00BA595D">
        <w:trPr>
          <w:trHeight w:val="259"/>
        </w:trPr>
        <w:tc>
          <w:tcPr>
            <w:tcW w:w="2628" w:type="dxa"/>
          </w:tcPr>
          <w:p w:rsidR="00E84A87" w:rsidRDefault="00E84A87" w:rsidP="00BA595D">
            <w:pPr>
              <w:pStyle w:val="TableText"/>
            </w:pPr>
            <w:r>
              <w:t>SM</w:t>
            </w:r>
          </w:p>
        </w:tc>
        <w:tc>
          <w:tcPr>
            <w:tcW w:w="6948" w:type="dxa"/>
          </w:tcPr>
          <w:p w:rsidR="00E84A87" w:rsidRDefault="00E84A87" w:rsidP="00BA595D">
            <w:pPr>
              <w:pStyle w:val="TableText"/>
            </w:pPr>
            <w:r>
              <w:t>Standard Method</w:t>
            </w:r>
          </w:p>
        </w:tc>
      </w:tr>
      <w:tr w:rsidR="00E84A87" w:rsidTr="00BA595D">
        <w:trPr>
          <w:trHeight w:val="259"/>
        </w:trPr>
        <w:tc>
          <w:tcPr>
            <w:tcW w:w="2628" w:type="dxa"/>
          </w:tcPr>
          <w:p w:rsidR="00E84A87" w:rsidRDefault="00E84A87" w:rsidP="00BA595D">
            <w:pPr>
              <w:pStyle w:val="TableText"/>
            </w:pPr>
            <w:r>
              <w:t>TDS</w:t>
            </w:r>
          </w:p>
        </w:tc>
        <w:tc>
          <w:tcPr>
            <w:tcW w:w="6948" w:type="dxa"/>
          </w:tcPr>
          <w:p w:rsidR="00E84A87" w:rsidRDefault="00E84A87" w:rsidP="00BA595D">
            <w:pPr>
              <w:pStyle w:val="TableText"/>
            </w:pPr>
            <w:r>
              <w:t>Total dissolved solids</w:t>
            </w:r>
          </w:p>
        </w:tc>
      </w:tr>
      <w:tr w:rsidR="00E84A87" w:rsidTr="00BA595D">
        <w:trPr>
          <w:trHeight w:val="259"/>
        </w:trPr>
        <w:tc>
          <w:tcPr>
            <w:tcW w:w="2628" w:type="dxa"/>
          </w:tcPr>
          <w:p w:rsidR="00E84A87" w:rsidRDefault="00E84A87" w:rsidP="00BA595D">
            <w:pPr>
              <w:pStyle w:val="TableText"/>
            </w:pPr>
            <w:r>
              <w:t>TKN</w:t>
            </w:r>
          </w:p>
        </w:tc>
        <w:tc>
          <w:tcPr>
            <w:tcW w:w="6948" w:type="dxa"/>
          </w:tcPr>
          <w:p w:rsidR="00E84A87" w:rsidRDefault="00E84A87" w:rsidP="00BA595D">
            <w:pPr>
              <w:pStyle w:val="TableText"/>
            </w:pPr>
            <w:r>
              <w:t>Total Kjeldahl nitrogen</w:t>
            </w:r>
          </w:p>
        </w:tc>
      </w:tr>
      <w:tr w:rsidR="00E84A87" w:rsidTr="00BA595D">
        <w:trPr>
          <w:trHeight w:val="259"/>
        </w:trPr>
        <w:tc>
          <w:tcPr>
            <w:tcW w:w="2628" w:type="dxa"/>
          </w:tcPr>
          <w:p w:rsidR="00E84A87" w:rsidRDefault="00E84A87" w:rsidP="00BA595D">
            <w:pPr>
              <w:pStyle w:val="TableText"/>
            </w:pPr>
            <w:r>
              <w:t>TOC</w:t>
            </w:r>
          </w:p>
        </w:tc>
        <w:tc>
          <w:tcPr>
            <w:tcW w:w="6948" w:type="dxa"/>
          </w:tcPr>
          <w:p w:rsidR="00E84A87" w:rsidRDefault="00E84A87" w:rsidP="00BA595D">
            <w:pPr>
              <w:pStyle w:val="TableText"/>
            </w:pPr>
            <w:r>
              <w:t>Total organic carbon</w:t>
            </w:r>
          </w:p>
        </w:tc>
      </w:tr>
      <w:tr w:rsidR="00E84A87" w:rsidTr="00BA595D">
        <w:trPr>
          <w:trHeight w:val="259"/>
        </w:trPr>
        <w:tc>
          <w:tcPr>
            <w:tcW w:w="2628" w:type="dxa"/>
          </w:tcPr>
          <w:p w:rsidR="00E84A87" w:rsidRDefault="00E84A87" w:rsidP="00BA595D">
            <w:pPr>
              <w:pStyle w:val="TableText"/>
            </w:pPr>
            <w:r>
              <w:t>TSS</w:t>
            </w:r>
          </w:p>
        </w:tc>
        <w:tc>
          <w:tcPr>
            <w:tcW w:w="6948" w:type="dxa"/>
          </w:tcPr>
          <w:p w:rsidR="00E84A87" w:rsidRDefault="00E84A87" w:rsidP="00BA595D">
            <w:pPr>
              <w:pStyle w:val="TableText"/>
            </w:pPr>
            <w:r>
              <w:t>Total suspended solids</w:t>
            </w:r>
          </w:p>
        </w:tc>
      </w:tr>
    </w:tbl>
    <w:p w:rsidR="00E84A87" w:rsidRPr="00E84A87" w:rsidRDefault="00E84A87" w:rsidP="00E84A87"/>
    <w:p w:rsidR="00E54671" w:rsidRPr="00E54671" w:rsidRDefault="00E54671" w:rsidP="00E54671"/>
    <w:p w:rsidR="00B22B23" w:rsidRDefault="00B22B23" w:rsidP="00B22B23">
      <w:pPr>
        <w:sectPr w:rsidR="00B22B23" w:rsidSect="001E01ED">
          <w:headerReference w:type="default" r:id="rId15"/>
          <w:footerReference w:type="default" r:id="rId16"/>
          <w:pgSz w:w="12240" w:h="15840"/>
          <w:pgMar w:top="1440" w:right="1440" w:bottom="1440" w:left="1440" w:header="720" w:footer="720" w:gutter="0"/>
          <w:pgNumType w:fmt="lowerRoman" w:start="1"/>
          <w:cols w:space="720"/>
          <w:docGrid w:linePitch="360"/>
        </w:sectPr>
      </w:pPr>
    </w:p>
    <w:p w:rsidR="0011685C" w:rsidRPr="0011685C" w:rsidRDefault="00DB5427" w:rsidP="0011685C">
      <w:pPr>
        <w:pStyle w:val="Heading1"/>
      </w:pPr>
      <w:bookmarkStart w:id="0" w:name="_Toc384377933"/>
      <w:r>
        <w:lastRenderedPageBreak/>
        <w:t>Introduction</w:t>
      </w:r>
      <w:bookmarkEnd w:id="0"/>
    </w:p>
    <w:p w:rsidR="004B1303" w:rsidRPr="00C2638E" w:rsidRDefault="004B1303" w:rsidP="00C2638E">
      <w:pPr>
        <w:pStyle w:val="BodyText"/>
      </w:pPr>
      <w:r w:rsidRPr="00C2638E">
        <w:t xml:space="preserve">Tetra Tech, Inc. conducted data validation of the analytical results for </w:t>
      </w:r>
      <w:r w:rsidR="006645FA">
        <w:t>1</w:t>
      </w:r>
      <w:r w:rsidR="00C24A13">
        <w:t>4</w:t>
      </w:r>
      <w:r w:rsidRPr="00C2638E">
        <w:t xml:space="preserve"> water samples</w:t>
      </w:r>
      <w:r w:rsidR="00C76A78">
        <w:t xml:space="preserve"> (including </w:t>
      </w:r>
      <w:r w:rsidR="006645FA">
        <w:t>one</w:t>
      </w:r>
      <w:r w:rsidR="00C76A78">
        <w:t xml:space="preserve"> field </w:t>
      </w:r>
      <w:r w:rsidR="00C56F08">
        <w:t xml:space="preserve">blank, </w:t>
      </w:r>
      <w:r w:rsidR="006645FA">
        <w:t>one</w:t>
      </w:r>
      <w:r w:rsidR="00C56F08">
        <w:t xml:space="preserve"> </w:t>
      </w:r>
      <w:r w:rsidR="00B46111">
        <w:t xml:space="preserve">field </w:t>
      </w:r>
      <w:r w:rsidR="00C76A78">
        <w:t>duplicate, and one trip blank)</w:t>
      </w:r>
      <w:r w:rsidRPr="00C2638E">
        <w:t xml:space="preserve"> </w:t>
      </w:r>
      <w:r w:rsidR="00C076D8">
        <w:t xml:space="preserve">collected at project river mile (PRM) </w:t>
      </w:r>
      <w:r w:rsidR="00BD2188">
        <w:t xml:space="preserve">187.2 </w:t>
      </w:r>
      <w:r w:rsidR="002B645C">
        <w:t>(</w:t>
      </w:r>
      <w:r w:rsidR="00BD2188">
        <w:t>Susitna at Watana Dam</w:t>
      </w:r>
      <w:r w:rsidR="002B645C">
        <w:t xml:space="preserve">) </w:t>
      </w:r>
      <w:r w:rsidR="00C076D8">
        <w:t xml:space="preserve">on </w:t>
      </w:r>
      <w:r w:rsidR="00595436">
        <w:t>Ju</w:t>
      </w:r>
      <w:r w:rsidR="00C76A78">
        <w:t>ne</w:t>
      </w:r>
      <w:r w:rsidR="00595436">
        <w:t xml:space="preserve"> 2</w:t>
      </w:r>
      <w:r w:rsidR="00BD2188">
        <w:t>4</w:t>
      </w:r>
      <w:r w:rsidR="00595436">
        <w:t>, 2013</w:t>
      </w:r>
      <w:r w:rsidR="00C076D8">
        <w:t>. Analytical results from these samples were provided in sample delivery group (SDG)</w:t>
      </w:r>
      <w:r w:rsidR="00C076D8" w:rsidRPr="00C076D8">
        <w:t xml:space="preserve"> </w:t>
      </w:r>
      <w:r w:rsidR="00C076D8">
        <w:t>113</w:t>
      </w:r>
      <w:r w:rsidR="00C76A78">
        <w:t>2</w:t>
      </w:r>
      <w:r w:rsidR="00BD2188">
        <w:t>615</w:t>
      </w:r>
      <w:r w:rsidR="00C076D8">
        <w:t xml:space="preserve"> (Table 1.1-1). Data </w:t>
      </w:r>
      <w:r w:rsidRPr="00C2638E">
        <w:t>were collected as part of the Susitna-Watana Hydroelectric Project (Project). SGS North American, Inc. (an ADEC certified and ISO17025</w:t>
      </w:r>
      <w:r w:rsidR="00BD2188">
        <w:t xml:space="preserve"> </w:t>
      </w:r>
      <w:r w:rsidRPr="00C2638E">
        <w:t xml:space="preserve">and DOD ELAP accredited laboratory) conducted all analyses. </w:t>
      </w:r>
    </w:p>
    <w:p w:rsidR="00DB5427" w:rsidRDefault="00C2638E" w:rsidP="0059624B">
      <w:pPr>
        <w:pStyle w:val="Heading1"/>
      </w:pPr>
      <w:bookmarkStart w:id="1" w:name="_Toc384377934"/>
      <w:r>
        <w:t>Parameters Measured</w:t>
      </w:r>
      <w:bookmarkEnd w:id="1"/>
    </w:p>
    <w:p w:rsidR="00442DAC" w:rsidRPr="00442DAC" w:rsidRDefault="00C2638E" w:rsidP="00442DAC">
      <w:pPr>
        <w:rPr>
          <w:rFonts w:ascii="Arial" w:eastAsia="Times New Roman" w:hAnsi="Arial" w:cs="Times New Roman"/>
          <w:b/>
          <w:bCs/>
          <w:caps/>
          <w:sz w:val="28"/>
          <w:szCs w:val="28"/>
        </w:rPr>
      </w:pPr>
      <w:r w:rsidRPr="00C2638E">
        <w:t>The samples were analyzed for alkalinity by Standard Methods 21st Edition (SM21) 2320B, ammonia (NH</w:t>
      </w:r>
      <w:r w:rsidRPr="00412328">
        <w:rPr>
          <w:vertAlign w:val="subscript"/>
        </w:rPr>
        <w:t>3</w:t>
      </w:r>
      <w:r w:rsidRPr="00C2638E">
        <w:t>) by SM21 4500-NH</w:t>
      </w:r>
      <w:r w:rsidRPr="00C71797">
        <w:rPr>
          <w:vertAlign w:val="subscript"/>
        </w:rPr>
        <w:t>3</w:t>
      </w:r>
      <w:r w:rsidRPr="00C2638E">
        <w:t xml:space="preserve"> G, dissolved hardness by SM21 2340B, total and dissolved low-level (LL) mercury by EPA 1631E, dissolved organic carbon (</w:t>
      </w:r>
      <w:r w:rsidR="00E84A87">
        <w:t>D</w:t>
      </w:r>
      <w:r w:rsidRPr="00C2638E">
        <w:t xml:space="preserve">OC) by SM 5310B, total and dissolved LL metals by EPA 200.8, nitrate/nitrite </w:t>
      </w:r>
      <w:r w:rsidR="00C76A78">
        <w:t xml:space="preserve">by </w:t>
      </w:r>
      <w:r w:rsidRPr="00C2638E">
        <w:t xml:space="preserve">4500NO3-F, </w:t>
      </w:r>
      <w:r w:rsidR="00C76A78">
        <w:t xml:space="preserve">pH by </w:t>
      </w:r>
      <w:r w:rsidR="00C76A78" w:rsidRPr="00C2638E">
        <w:t>4500</w:t>
      </w:r>
      <w:r w:rsidR="00C76A78">
        <w:t xml:space="preserve"> H B,</w:t>
      </w:r>
      <w:r w:rsidR="00C76A78" w:rsidRPr="00C2638E">
        <w:t xml:space="preserve"> </w:t>
      </w:r>
      <w:r w:rsidRPr="00C2638E">
        <w:t>total phosphorus</w:t>
      </w:r>
      <w:r w:rsidR="002D5FC1">
        <w:t xml:space="preserve"> (TP)</w:t>
      </w:r>
      <w:r w:rsidRPr="00C2638E">
        <w:t xml:space="preserve"> and soluble reactive phosphorus</w:t>
      </w:r>
      <w:r w:rsidR="002D5FC1">
        <w:t xml:space="preserve"> (SRP)</w:t>
      </w:r>
      <w:r w:rsidRPr="00C2638E">
        <w:t xml:space="preserve"> by 4500P-B,E, total Kjeldahl nitrogen (TKN) by 4500-N D, total dissolved solids (TDS) by SM21 2540C, total suspended solids (TSS) by</w:t>
      </w:r>
      <w:r w:rsidR="00412328">
        <w:t xml:space="preserve"> </w:t>
      </w:r>
      <w:r w:rsidRPr="00C2638E">
        <w:t>SM21 2540D, and turbidity by SM21 2130B.</w:t>
      </w:r>
    </w:p>
    <w:p w:rsidR="00CA33F2" w:rsidRDefault="00C2638E" w:rsidP="0059624B">
      <w:pPr>
        <w:pStyle w:val="Heading1"/>
      </w:pPr>
      <w:bookmarkStart w:id="2" w:name="_Toc384377935"/>
      <w:r>
        <w:t>Laboratory Performance Evaluation</w:t>
      </w:r>
      <w:bookmarkEnd w:id="2"/>
    </w:p>
    <w:p w:rsidR="00C2638E" w:rsidRDefault="00C2638E" w:rsidP="00C2638E">
      <w:pPr>
        <w:pStyle w:val="Heading2"/>
      </w:pPr>
      <w:bookmarkStart w:id="3" w:name="_Toc384377936"/>
      <w:r>
        <w:t>Data Qualifiers</w:t>
      </w:r>
      <w:bookmarkEnd w:id="3"/>
    </w:p>
    <w:p w:rsidR="00C2638E" w:rsidRDefault="00C2638E" w:rsidP="00412328">
      <w:pPr>
        <w:pStyle w:val="BodyText"/>
      </w:pPr>
      <w:r w:rsidRPr="00D969A5">
        <w:t>Analytical data were evaluated in general accordance with the EPA C</w:t>
      </w:r>
      <w:bookmarkStart w:id="4" w:name="org"/>
      <w:r w:rsidR="00412328">
        <w:rPr>
          <w:rStyle w:val="Strong"/>
          <w:rFonts w:cs="Times New Roman"/>
          <w:b w:val="0"/>
          <w:sz w:val="22"/>
        </w:rPr>
        <w:t>ontract Laboratory Program (CLP)</w:t>
      </w:r>
      <w:r w:rsidRPr="00D969A5">
        <w:rPr>
          <w:rStyle w:val="Strong"/>
          <w:rFonts w:cs="Times New Roman"/>
          <w:b w:val="0"/>
          <w:sz w:val="22"/>
        </w:rPr>
        <w:t xml:space="preserve"> National Functional Guidelines </w:t>
      </w:r>
      <w:r w:rsidRPr="004877F8">
        <w:rPr>
          <w:rStyle w:val="Strong"/>
          <w:rFonts w:cs="Times New Roman"/>
          <w:b w:val="0"/>
          <w:sz w:val="22"/>
        </w:rPr>
        <w:t xml:space="preserve">(NFG) for Inorganic </w:t>
      </w:r>
      <w:bookmarkEnd w:id="4"/>
      <w:r w:rsidRPr="004877F8">
        <w:rPr>
          <w:rStyle w:val="Strong"/>
          <w:rFonts w:cs="Times New Roman"/>
          <w:b w:val="0"/>
          <w:sz w:val="22"/>
        </w:rPr>
        <w:t>Superfund Data Review (January 2010)</w:t>
      </w:r>
      <w:r w:rsidRPr="004877F8">
        <w:t xml:space="preserve"> data validation guidance document</w:t>
      </w:r>
      <w:r w:rsidR="00412328">
        <w:t xml:space="preserve"> and </w:t>
      </w:r>
      <w:r w:rsidR="00412328" w:rsidRPr="00C2638E">
        <w:t xml:space="preserve">the </w:t>
      </w:r>
      <w:r w:rsidR="00412328" w:rsidRPr="00C2638E">
        <w:rPr>
          <w:i/>
        </w:rPr>
        <w:t xml:space="preserve">Quality Assurance Project Plan for Water Quality </w:t>
      </w:r>
      <w:r w:rsidR="00430AC7">
        <w:rPr>
          <w:i/>
        </w:rPr>
        <w:t xml:space="preserve">and Mercury Monitoring </w:t>
      </w:r>
      <w:r w:rsidR="00412328" w:rsidRPr="00C2638E">
        <w:rPr>
          <w:i/>
        </w:rPr>
        <w:t>Program for the Susitna-Watana Hydroelectric Project Water Quality Study Susitna River, Southcentral Alaska</w:t>
      </w:r>
      <w:r w:rsidR="00412328" w:rsidRPr="00C2638E">
        <w:t xml:space="preserve"> (the QAPP) (</w:t>
      </w:r>
      <w:r w:rsidR="00430AC7">
        <w:t>March 2014</w:t>
      </w:r>
      <w:r w:rsidR="00412328" w:rsidRPr="00C2638E">
        <w:t>)</w:t>
      </w:r>
      <w:r w:rsidRPr="004877F8">
        <w:rPr>
          <w:rStyle w:val="Strong"/>
          <w:rFonts w:cs="Times New Roman"/>
          <w:b w:val="0"/>
          <w:sz w:val="22"/>
        </w:rPr>
        <w:t xml:space="preserve">. </w:t>
      </w:r>
      <w:r w:rsidR="00C076D8">
        <w:t>Table</w:t>
      </w:r>
      <w:r w:rsidRPr="004877F8">
        <w:t xml:space="preserve"> </w:t>
      </w:r>
      <w:r w:rsidR="00BB5A28">
        <w:t xml:space="preserve">3.1-1 summarizes </w:t>
      </w:r>
      <w:r w:rsidRPr="004877F8">
        <w:t xml:space="preserve">a list of qualifiers </w:t>
      </w:r>
      <w:r>
        <w:t xml:space="preserve">that may have been </w:t>
      </w:r>
      <w:r w:rsidRPr="004877F8">
        <w:t xml:space="preserve">used for the validation of this data package: </w:t>
      </w:r>
    </w:p>
    <w:p w:rsidR="00E54671" w:rsidRDefault="00C2638E" w:rsidP="00412328">
      <w:pPr>
        <w:pStyle w:val="Heading1"/>
      </w:pPr>
      <w:bookmarkStart w:id="5" w:name="_Toc384377937"/>
      <w:r>
        <w:t>Data Evaluation</w:t>
      </w:r>
      <w:bookmarkEnd w:id="5"/>
    </w:p>
    <w:p w:rsidR="002E55EE" w:rsidRPr="004F0FA8" w:rsidRDefault="002E55EE" w:rsidP="002E55EE">
      <w:pPr>
        <w:rPr>
          <w:szCs w:val="24"/>
        </w:rPr>
      </w:pPr>
      <w:r w:rsidRPr="004F0FA8">
        <w:rPr>
          <w:rFonts w:cs="Times New Roman"/>
          <w:szCs w:val="24"/>
        </w:rPr>
        <w:t>Data were evaluated based on parameters including in the following sections.</w:t>
      </w:r>
    </w:p>
    <w:p w:rsidR="00CA33F2" w:rsidRDefault="00412328" w:rsidP="00412328">
      <w:pPr>
        <w:pStyle w:val="Heading2"/>
      </w:pPr>
      <w:bookmarkStart w:id="6" w:name="_Toc384377938"/>
      <w:r>
        <w:t>Data Completeness</w:t>
      </w:r>
      <w:bookmarkEnd w:id="6"/>
    </w:p>
    <w:p w:rsidR="00412328" w:rsidRPr="004F0FA8" w:rsidRDefault="00412328" w:rsidP="00412328">
      <w:pPr>
        <w:rPr>
          <w:szCs w:val="24"/>
        </w:rPr>
      </w:pPr>
      <w:r w:rsidRPr="004F0FA8">
        <w:rPr>
          <w:szCs w:val="24"/>
        </w:rPr>
        <w:t>SDG No. 113</w:t>
      </w:r>
      <w:r w:rsidR="00C76A78" w:rsidRPr="004F0FA8">
        <w:rPr>
          <w:szCs w:val="24"/>
        </w:rPr>
        <w:t>2</w:t>
      </w:r>
      <w:r w:rsidR="00FE04B9">
        <w:rPr>
          <w:szCs w:val="24"/>
        </w:rPr>
        <w:t>615</w:t>
      </w:r>
      <w:r w:rsidRPr="004F0FA8">
        <w:rPr>
          <w:szCs w:val="24"/>
        </w:rPr>
        <w:t xml:space="preserve"> was complete as submitted.</w:t>
      </w:r>
    </w:p>
    <w:p w:rsidR="00412328" w:rsidRDefault="00412328" w:rsidP="00412328">
      <w:pPr>
        <w:pStyle w:val="Heading2"/>
      </w:pPr>
      <w:bookmarkStart w:id="7" w:name="_Toc384377939"/>
      <w:r>
        <w:t>Sample Preservation, Receipt, and Holding Times</w:t>
      </w:r>
      <w:bookmarkEnd w:id="7"/>
      <w:r>
        <w:t xml:space="preserve"> </w:t>
      </w:r>
    </w:p>
    <w:p w:rsidR="00707F3B" w:rsidRDefault="00FE04B9" w:rsidP="00707F3B">
      <w:pPr>
        <w:pStyle w:val="BodyText"/>
        <w:keepNext/>
      </w:pPr>
      <w:r>
        <w:t xml:space="preserve">Sample preservation, receipt, and holding times were acceptable with the following exceptions.  </w:t>
      </w:r>
      <w:r w:rsidR="001256DE">
        <w:t xml:space="preserve">Two of the </w:t>
      </w:r>
      <w:r>
        <w:t xml:space="preserve">coolers arrived at the laboratory at temperatures </w:t>
      </w:r>
      <w:r w:rsidR="001256DE">
        <w:t xml:space="preserve">of </w:t>
      </w:r>
      <w:r w:rsidR="006645FA">
        <w:t xml:space="preserve">-2.9 </w:t>
      </w:r>
      <w:r w:rsidR="001256DE">
        <w:t>and</w:t>
      </w:r>
      <w:r>
        <w:t xml:space="preserve"> </w:t>
      </w:r>
      <w:r w:rsidR="001256DE">
        <w:t>-0</w:t>
      </w:r>
      <w:r>
        <w:t>.</w:t>
      </w:r>
      <w:r w:rsidR="001256DE">
        <w:t>1</w:t>
      </w:r>
      <w:r>
        <w:t xml:space="preserve"> degrees Celsius (</w:t>
      </w:r>
      <w:r>
        <w:rPr>
          <w:rFonts w:cs="Times New Roman"/>
        </w:rPr>
        <w:t>º</w:t>
      </w:r>
      <w:r>
        <w:t>C)</w:t>
      </w:r>
      <w:r w:rsidR="00C24A13">
        <w:t>,</w:t>
      </w:r>
      <w:r>
        <w:t xml:space="preserve"> below the </w:t>
      </w:r>
      <w:r w:rsidR="001256DE">
        <w:t>QAPP-specified</w:t>
      </w:r>
      <w:r>
        <w:t xml:space="preserve"> </w:t>
      </w:r>
      <w:r w:rsidR="001256DE">
        <w:t xml:space="preserve">temperature range of </w:t>
      </w:r>
      <w:r w:rsidR="001256DE" w:rsidRPr="001256DE">
        <w:t>0</w:t>
      </w:r>
      <w:r w:rsidRPr="001256DE">
        <w:t xml:space="preserve"> </w:t>
      </w:r>
      <w:r w:rsidR="001256DE" w:rsidRPr="001256DE">
        <w:t>to 6</w:t>
      </w:r>
      <w:r>
        <w:t xml:space="preserve"> </w:t>
      </w:r>
      <w:r>
        <w:rPr>
          <w:rFonts w:cs="Times New Roman"/>
        </w:rPr>
        <w:t>º</w:t>
      </w:r>
      <w:r>
        <w:t xml:space="preserve">C.  </w:t>
      </w:r>
      <w:r w:rsidR="006645FA">
        <w:t xml:space="preserve">One or more sample containers for </w:t>
      </w:r>
      <w:r w:rsidR="006645FA">
        <w:lastRenderedPageBreak/>
        <w:t>samples WQSWB142.3RT, WQSWB142.3RD and</w:t>
      </w:r>
      <w:r w:rsidR="006645FA" w:rsidRPr="006645FA">
        <w:t xml:space="preserve"> </w:t>
      </w:r>
      <w:r w:rsidR="006645FA">
        <w:t xml:space="preserve">WQSWB142.3LT contained ice.  </w:t>
      </w:r>
      <w:r w:rsidR="00C24A13">
        <w:t>No</w:t>
      </w:r>
      <w:r w:rsidR="006A2D3A">
        <w:t xml:space="preserve"> sample containers were </w:t>
      </w:r>
      <w:r w:rsidR="00C24A13">
        <w:t>broken</w:t>
      </w:r>
      <w:r w:rsidR="006A2D3A">
        <w:t xml:space="preserve">.  Results for </w:t>
      </w:r>
      <w:r w:rsidR="00BB642F">
        <w:t xml:space="preserve">the </w:t>
      </w:r>
      <w:r w:rsidR="006A2D3A">
        <w:t>samples transported in the cooler that was</w:t>
      </w:r>
      <w:r w:rsidR="00BB642F">
        <w:t xml:space="preserve"> </w:t>
      </w:r>
      <w:r w:rsidR="006A2D3A">
        <w:t>-</w:t>
      </w:r>
      <w:r w:rsidR="00BB642F">
        <w:t>0</w:t>
      </w:r>
      <w:r w:rsidR="006A2D3A">
        <w:t xml:space="preserve">.1 </w:t>
      </w:r>
      <w:r w:rsidR="006A2D3A">
        <w:rPr>
          <w:rFonts w:cs="Times New Roman"/>
        </w:rPr>
        <w:t>º</w:t>
      </w:r>
      <w:r w:rsidR="006A2D3A">
        <w:t xml:space="preserve">C were not qualified, since </w:t>
      </w:r>
      <w:r w:rsidR="00BB642F">
        <w:t xml:space="preserve">they </w:t>
      </w:r>
      <w:r w:rsidR="00C24A13">
        <w:t>we</w:t>
      </w:r>
      <w:r w:rsidR="00BB642F">
        <w:t>re only slightly</w:t>
      </w:r>
      <w:r w:rsidR="006A2D3A">
        <w:t xml:space="preserve"> out of </w:t>
      </w:r>
      <w:r w:rsidR="00BB642F">
        <w:t>compliance</w:t>
      </w:r>
      <w:r w:rsidR="006A2D3A">
        <w:t xml:space="preserve">.  </w:t>
      </w:r>
      <w:r w:rsidR="00BB642F">
        <w:t>Detected r</w:t>
      </w:r>
      <w:r w:rsidR="006A2D3A">
        <w:t xml:space="preserve">esults for samples transported </w:t>
      </w:r>
      <w:r w:rsidR="00BB642F">
        <w:t>in the cooler that was</w:t>
      </w:r>
      <w:r w:rsidR="006A2D3A">
        <w:t xml:space="preserve"> -2.9 </w:t>
      </w:r>
      <w:r w:rsidR="00BB642F">
        <w:rPr>
          <w:rFonts w:cs="Times New Roman"/>
        </w:rPr>
        <w:t>º</w:t>
      </w:r>
      <w:r w:rsidR="00BB642F">
        <w:t xml:space="preserve">C </w:t>
      </w:r>
      <w:r w:rsidR="006A2D3A">
        <w:t>were qualified as estimated and possibly biased low (J-</w:t>
      </w:r>
      <w:r w:rsidR="00C24A13">
        <w:t>).</w:t>
      </w:r>
      <w:r w:rsidR="00707F3B">
        <w:t xml:space="preserve">  This qualification applies to samples </w:t>
      </w:r>
      <w:r w:rsidR="00707F3B" w:rsidRPr="00707F3B">
        <w:t>WQSWB142.3RT</w:t>
      </w:r>
      <w:r w:rsidR="00707F3B">
        <w:t xml:space="preserve"> (only dissolved mercury)</w:t>
      </w:r>
      <w:r w:rsidR="00707F3B" w:rsidRPr="00707F3B">
        <w:t>, WQSWB142.3RB, WQSWB142.3MT, WQSWB142.3RD, WQ</w:t>
      </w:r>
      <w:r w:rsidR="00707F3B">
        <w:t xml:space="preserve">SWB142.3LT, and WQSWB142.3LB.  </w:t>
      </w:r>
      <w:r w:rsidR="00C24A13">
        <w:t xml:space="preserve">Not detected results for samples transport in the cooler that was -2.9 </w:t>
      </w:r>
      <w:r w:rsidR="00C24A13">
        <w:rPr>
          <w:rFonts w:cs="Times New Roman"/>
        </w:rPr>
        <w:t>º</w:t>
      </w:r>
      <w:r w:rsidR="00C24A13">
        <w:t>C were qualified as estimated (</w:t>
      </w:r>
      <w:r w:rsidR="006A2D3A">
        <w:t>UJ)</w:t>
      </w:r>
      <w:r w:rsidR="00BB642F">
        <w:t>. This impacted the total mercury result for samples</w:t>
      </w:r>
      <w:r w:rsidR="00707F3B">
        <w:t>WQSWB142.3RT.</w:t>
      </w:r>
      <w:r w:rsidR="00BB642F">
        <w:t xml:space="preserve"> </w:t>
      </w:r>
    </w:p>
    <w:p w:rsidR="00412328" w:rsidRDefault="00412328" w:rsidP="00707F3B">
      <w:pPr>
        <w:pStyle w:val="Heading2"/>
      </w:pPr>
      <w:bookmarkStart w:id="8" w:name="_Toc384377940"/>
      <w:r>
        <w:t xml:space="preserve">Laboratory </w:t>
      </w:r>
      <w:r w:rsidR="00E75E94">
        <w:t xml:space="preserve">and Field </w:t>
      </w:r>
      <w:r>
        <w:t>Blanks</w:t>
      </w:r>
      <w:bookmarkEnd w:id="8"/>
    </w:p>
    <w:p w:rsidR="000002E6" w:rsidRPr="00927880" w:rsidRDefault="0052107D" w:rsidP="000002E6">
      <w:pPr>
        <w:pStyle w:val="BodyText"/>
        <w:rPr>
          <w:color w:val="000000"/>
        </w:rPr>
      </w:pPr>
      <w:r w:rsidRPr="00513A4B">
        <w:t>One of t</w:t>
      </w:r>
      <w:r w:rsidR="00412328" w:rsidRPr="00513A4B">
        <w:t>he method blank</w:t>
      </w:r>
      <w:r w:rsidRPr="00513A4B">
        <w:t>s</w:t>
      </w:r>
      <w:r w:rsidR="00412328" w:rsidRPr="00513A4B">
        <w:t xml:space="preserve"> associated with the </w:t>
      </w:r>
      <w:r w:rsidR="00513A4B" w:rsidRPr="00513A4B">
        <w:t xml:space="preserve">total nitrate/nitrite analysis </w:t>
      </w:r>
      <w:r w:rsidR="00412328" w:rsidRPr="00513A4B">
        <w:t xml:space="preserve">contained </w:t>
      </w:r>
      <w:r w:rsidR="00513A4B" w:rsidRPr="00513A4B">
        <w:t>total nitrate/nitrite be</w:t>
      </w:r>
      <w:r w:rsidR="00412328" w:rsidRPr="00513A4B">
        <w:t>low the</w:t>
      </w:r>
      <w:r w:rsidR="00540958">
        <w:t xml:space="preserve"> reporting limit (</w:t>
      </w:r>
      <w:r w:rsidR="00412328" w:rsidRPr="00513A4B">
        <w:t>RL</w:t>
      </w:r>
      <w:r w:rsidR="00540958">
        <w:t>)</w:t>
      </w:r>
      <w:r w:rsidR="00412328" w:rsidRPr="00513A4B">
        <w:t xml:space="preserve">.  </w:t>
      </w:r>
      <w:r w:rsidR="001E7985">
        <w:t>All</w:t>
      </w:r>
      <w:r w:rsidR="00C24A13">
        <w:t xml:space="preserve"> a</w:t>
      </w:r>
      <w:r w:rsidR="00412328" w:rsidRPr="00513A4B">
        <w:t xml:space="preserve">ssociated </w:t>
      </w:r>
      <w:r w:rsidR="00B62B18">
        <w:t>r</w:t>
      </w:r>
      <w:r w:rsidR="00412328" w:rsidRPr="00513A4B">
        <w:t xml:space="preserve">esults </w:t>
      </w:r>
      <w:r w:rsidR="00B62B18">
        <w:t>were no</w:t>
      </w:r>
      <w:r w:rsidR="0010597E">
        <w:t>n</w:t>
      </w:r>
      <w:r w:rsidR="002D5FC1">
        <w:t>-</w:t>
      </w:r>
      <w:r w:rsidR="00B62B18">
        <w:t>detect</w:t>
      </w:r>
      <w:r w:rsidR="00C24A13">
        <w:t>s</w:t>
      </w:r>
      <w:r w:rsidR="00B62B18">
        <w:t xml:space="preserve"> so no data were qualified</w:t>
      </w:r>
      <w:r w:rsidR="00D21F0C" w:rsidRPr="00513A4B">
        <w:rPr>
          <w:color w:val="000000"/>
        </w:rPr>
        <w:t>.</w:t>
      </w:r>
      <w:r w:rsidR="00D21F0C" w:rsidRPr="00513A4B">
        <w:t xml:space="preserve"> </w:t>
      </w:r>
      <w:r w:rsidR="00A44ABD" w:rsidRPr="000B3175">
        <w:rPr>
          <w:color w:val="000000"/>
        </w:rPr>
        <w:t>The</w:t>
      </w:r>
      <w:r w:rsidR="00412328" w:rsidRPr="000B3175">
        <w:rPr>
          <w:color w:val="000000"/>
        </w:rPr>
        <w:t xml:space="preserve"> method blank </w:t>
      </w:r>
      <w:r w:rsidR="00477061" w:rsidRPr="000B3175">
        <w:rPr>
          <w:color w:val="000000"/>
        </w:rPr>
        <w:t xml:space="preserve">result </w:t>
      </w:r>
      <w:r w:rsidR="00412328" w:rsidRPr="000B3175">
        <w:rPr>
          <w:color w:val="000000"/>
        </w:rPr>
        <w:t xml:space="preserve">associated with the turbidity analyses </w:t>
      </w:r>
      <w:r w:rsidR="003E6B1A" w:rsidRPr="000B3175">
        <w:rPr>
          <w:color w:val="000000"/>
        </w:rPr>
        <w:t xml:space="preserve">was </w:t>
      </w:r>
      <w:r w:rsidR="00412328" w:rsidRPr="000B3175">
        <w:rPr>
          <w:color w:val="000000"/>
        </w:rPr>
        <w:t xml:space="preserve">equal to the </w:t>
      </w:r>
      <w:r w:rsidR="000B3175" w:rsidRPr="000B3175">
        <w:rPr>
          <w:color w:val="000000"/>
        </w:rPr>
        <w:t>RL</w:t>
      </w:r>
      <w:r w:rsidR="00412328" w:rsidRPr="000B3175">
        <w:rPr>
          <w:color w:val="000000"/>
        </w:rPr>
        <w:t>.</w:t>
      </w:r>
      <w:r w:rsidR="003E6B1A" w:rsidRPr="000B3175">
        <w:rPr>
          <w:color w:val="000000"/>
        </w:rPr>
        <w:t xml:space="preserve"> </w:t>
      </w:r>
      <w:r w:rsidR="00477061" w:rsidRPr="000B3175">
        <w:rPr>
          <w:color w:val="000000"/>
        </w:rPr>
        <w:t xml:space="preserve"> </w:t>
      </w:r>
      <w:r w:rsidR="00CE4EAD" w:rsidRPr="000B3175">
        <w:rPr>
          <w:color w:val="000000"/>
        </w:rPr>
        <w:t>All associated sample results</w:t>
      </w:r>
      <w:r w:rsidR="00E06979">
        <w:rPr>
          <w:color w:val="000000"/>
        </w:rPr>
        <w:t>,</w:t>
      </w:r>
      <w:r w:rsidR="00CE4EAD" w:rsidRPr="000B3175">
        <w:rPr>
          <w:color w:val="000000"/>
        </w:rPr>
        <w:t xml:space="preserve"> </w:t>
      </w:r>
      <w:r w:rsidR="00E06979">
        <w:rPr>
          <w:color w:val="000000"/>
        </w:rPr>
        <w:t xml:space="preserve">except </w:t>
      </w:r>
      <w:r w:rsidR="00513A4B">
        <w:rPr>
          <w:color w:val="000000"/>
        </w:rPr>
        <w:t xml:space="preserve">for </w:t>
      </w:r>
      <w:r w:rsidR="00E06979">
        <w:rPr>
          <w:color w:val="000000"/>
        </w:rPr>
        <w:t xml:space="preserve">the field blank, </w:t>
      </w:r>
      <w:r w:rsidR="00CE4EAD" w:rsidRPr="000B3175">
        <w:rPr>
          <w:color w:val="000000"/>
        </w:rPr>
        <w:t xml:space="preserve">were greater than </w:t>
      </w:r>
      <w:r w:rsidR="00E06979">
        <w:rPr>
          <w:color w:val="000000"/>
        </w:rPr>
        <w:t>10 times the blank concentration</w:t>
      </w:r>
      <w:r w:rsidR="00CE4EAD" w:rsidRPr="000B3175">
        <w:t xml:space="preserve">, </w:t>
      </w:r>
      <w:r w:rsidR="00E06979">
        <w:t>s</w:t>
      </w:r>
      <w:r w:rsidR="00CE4EAD" w:rsidRPr="000B3175">
        <w:t xml:space="preserve">o </w:t>
      </w:r>
      <w:r w:rsidR="00E06979">
        <w:t xml:space="preserve">were not </w:t>
      </w:r>
      <w:r w:rsidR="009A3148" w:rsidRPr="000B3175">
        <w:t>qual</w:t>
      </w:r>
      <w:r w:rsidR="009A3148" w:rsidRPr="000B3175">
        <w:rPr>
          <w:color w:val="000000"/>
        </w:rPr>
        <w:t xml:space="preserve">ified.  </w:t>
      </w:r>
      <w:r w:rsidR="001F73AB">
        <w:rPr>
          <w:color w:val="000000"/>
        </w:rPr>
        <w:t>The t</w:t>
      </w:r>
      <w:r w:rsidR="00E06979">
        <w:rPr>
          <w:color w:val="000000"/>
        </w:rPr>
        <w:t xml:space="preserve">urbidity result for field blank sample WQSWB118.6FB was </w:t>
      </w:r>
      <w:r w:rsidR="00927880">
        <w:rPr>
          <w:color w:val="000000"/>
        </w:rPr>
        <w:t>qualified as estimated and possibly biased high (J+).</w:t>
      </w:r>
      <w:r w:rsidR="000002E6" w:rsidRPr="000002E6">
        <w:rPr>
          <w:color w:val="000000"/>
        </w:rPr>
        <w:t xml:space="preserve"> </w:t>
      </w:r>
      <w:r w:rsidR="00041FFD">
        <w:rPr>
          <w:color w:val="000000"/>
        </w:rPr>
        <w:t xml:space="preserve"> </w:t>
      </w:r>
      <w:r w:rsidR="000002E6">
        <w:rPr>
          <w:color w:val="000000"/>
        </w:rPr>
        <w:t>One of the method blanks associated with the dissolved TOC analysis had a result below the RL.  Di</w:t>
      </w:r>
      <w:r w:rsidR="00041FFD">
        <w:rPr>
          <w:color w:val="000000"/>
        </w:rPr>
        <w:t xml:space="preserve">ssolved TOC results for sample </w:t>
      </w:r>
      <w:r w:rsidR="000002E6">
        <w:rPr>
          <w:color w:val="000000"/>
        </w:rPr>
        <w:t>WQSWB118.6FB were less than the RL, so w</w:t>
      </w:r>
      <w:r w:rsidR="00041FFD">
        <w:rPr>
          <w:color w:val="000000"/>
        </w:rPr>
        <w:t>as</w:t>
      </w:r>
      <w:r w:rsidR="000002E6">
        <w:rPr>
          <w:color w:val="000000"/>
        </w:rPr>
        <w:t xml:space="preserve"> flagged as not detected (U).  Both method blanks associated with the TP analysis had detected results below the RL.  All associated sample results, except the field blank, were greater than 10 times the blank results, so were not qualified.  The TP result for field blank sample WQSWB118.6FB was qualified as not detected (U).</w:t>
      </w:r>
    </w:p>
    <w:p w:rsidR="00B64E68" w:rsidRDefault="001E7985" w:rsidP="00F1182C">
      <w:pPr>
        <w:pStyle w:val="BodyText"/>
      </w:pPr>
      <w:r>
        <w:t>F</w:t>
      </w:r>
      <w:r w:rsidR="00DE1D91" w:rsidRPr="009D4CB0">
        <w:t xml:space="preserve">ield blank </w:t>
      </w:r>
      <w:r>
        <w:t xml:space="preserve">sample </w:t>
      </w:r>
      <w:r w:rsidR="00DE1D91" w:rsidRPr="009D4CB0">
        <w:t>WQSWB</w:t>
      </w:r>
      <w:r w:rsidR="009D4CB0" w:rsidRPr="009D4CB0">
        <w:t>118</w:t>
      </w:r>
      <w:r w:rsidR="00DE1D91" w:rsidRPr="009D4CB0">
        <w:t>.</w:t>
      </w:r>
      <w:r w:rsidR="009D4CB0" w:rsidRPr="009D4CB0">
        <w:t>6</w:t>
      </w:r>
      <w:r w:rsidR="00DE1D91" w:rsidRPr="009D4CB0">
        <w:t xml:space="preserve">FB was collected in the field by pouring analyte-free water through new sampling equipment (i.e., tubing, filters) to assess the potential for contamination during sample collection.  It was analyzed for total LL metals, dissolved LL metals and hardness, total and dissolved LL mercury, </w:t>
      </w:r>
      <w:r w:rsidR="00F65512" w:rsidRPr="009D4CB0">
        <w:t xml:space="preserve">turbidity, alkalinity, TDS, TSS, pH, TKN, ammonia, total nitrate/nitrite, </w:t>
      </w:r>
      <w:r w:rsidR="002D5FC1">
        <w:t>TP</w:t>
      </w:r>
      <w:r w:rsidR="00F65512" w:rsidRPr="00E84A87">
        <w:t xml:space="preserve">, </w:t>
      </w:r>
      <w:r w:rsidR="0001797C" w:rsidRPr="00E84A87">
        <w:t xml:space="preserve">dissolved </w:t>
      </w:r>
      <w:r w:rsidR="00E84A87" w:rsidRPr="00E84A87">
        <w:t>organ</w:t>
      </w:r>
      <w:r w:rsidR="00E84A87">
        <w:t>ic carbon (DOC)</w:t>
      </w:r>
      <w:r w:rsidR="00F65512" w:rsidRPr="009D4CB0">
        <w:t xml:space="preserve">, and </w:t>
      </w:r>
      <w:r w:rsidR="002D5FC1">
        <w:t>SRP</w:t>
      </w:r>
      <w:r w:rsidR="00DE1D91" w:rsidRPr="009D4CB0">
        <w:t xml:space="preserve">. </w:t>
      </w:r>
      <w:r w:rsidR="00AF40E3">
        <w:t xml:space="preserve"> </w:t>
      </w:r>
      <w:r w:rsidR="00DE1D91" w:rsidRPr="009D4CB0">
        <w:t>The total LL metals analysis revealed copper and iron below RL</w:t>
      </w:r>
      <w:r w:rsidR="00B3764A" w:rsidRPr="009D4CB0">
        <w:t>s</w:t>
      </w:r>
      <w:r w:rsidR="00DE1D91" w:rsidRPr="009D4CB0">
        <w:t xml:space="preserve"> and manganese and zinc above RLs. </w:t>
      </w:r>
      <w:r w:rsidR="00AF40E3" w:rsidRPr="009D4CB0">
        <w:t xml:space="preserve">The </w:t>
      </w:r>
      <w:r w:rsidR="00AF40E3">
        <w:t>dissolved</w:t>
      </w:r>
      <w:r w:rsidR="00AF40E3" w:rsidRPr="009D4CB0">
        <w:t xml:space="preserve"> LL metals analysis revealed </w:t>
      </w:r>
      <w:r w:rsidR="00AF40E3">
        <w:t>arsenic, barium, iron, and manganese</w:t>
      </w:r>
      <w:r w:rsidR="00AF40E3" w:rsidRPr="009D4CB0">
        <w:t xml:space="preserve"> below RLs.  </w:t>
      </w:r>
      <w:r w:rsidR="00DE1D91" w:rsidRPr="009D4CB0">
        <w:t xml:space="preserve"> </w:t>
      </w:r>
      <w:r w:rsidR="00CE4EAD" w:rsidRPr="009D4CB0">
        <w:rPr>
          <w:color w:val="000000"/>
        </w:rPr>
        <w:t xml:space="preserve">Detected </w:t>
      </w:r>
      <w:r w:rsidR="00AF40E3">
        <w:rPr>
          <w:color w:val="000000"/>
        </w:rPr>
        <w:t>associated</w:t>
      </w:r>
      <w:r w:rsidR="00CE4EAD" w:rsidRPr="009D4CB0">
        <w:rPr>
          <w:color w:val="000000"/>
        </w:rPr>
        <w:t xml:space="preserve"> r</w:t>
      </w:r>
      <w:r w:rsidR="00B3764A" w:rsidRPr="009D4CB0">
        <w:t xml:space="preserve">esults </w:t>
      </w:r>
      <w:r w:rsidR="00540C6F" w:rsidRPr="009D4CB0">
        <w:t>above RLs but less than 10</w:t>
      </w:r>
      <w:r w:rsidR="00EA7F00">
        <w:t xml:space="preserve"> times</w:t>
      </w:r>
      <w:r w:rsidR="00540C6F" w:rsidRPr="009D4CB0">
        <w:t xml:space="preserve"> </w:t>
      </w:r>
      <w:r w:rsidR="003F21FB" w:rsidRPr="009D4CB0">
        <w:t xml:space="preserve">the </w:t>
      </w:r>
      <w:r w:rsidR="00540C6F" w:rsidRPr="009D4CB0">
        <w:t>blank results were qualified as estimated and possibly biased high (J+).</w:t>
      </w:r>
      <w:r w:rsidR="00041FFD">
        <w:t xml:space="preserve">  </w:t>
      </w:r>
      <w:r w:rsidR="00041FFD" w:rsidRPr="009D4CB0">
        <w:t xml:space="preserve">Detected </w:t>
      </w:r>
      <w:r w:rsidR="00041FFD">
        <w:t xml:space="preserve">associated </w:t>
      </w:r>
      <w:r w:rsidR="00041FFD" w:rsidRPr="009D4CB0">
        <w:t>results below RLs were qual</w:t>
      </w:r>
      <w:r w:rsidR="00041FFD" w:rsidRPr="009D4CB0">
        <w:rPr>
          <w:color w:val="000000"/>
        </w:rPr>
        <w:t>ified as not detected (U).</w:t>
      </w:r>
      <w:r w:rsidR="00540C6F" w:rsidRPr="009D4CB0">
        <w:t xml:space="preserve">  </w:t>
      </w:r>
      <w:r w:rsidR="001A3EA3">
        <w:t>Field blank analysis for total mercury, dissolved mercury,</w:t>
      </w:r>
      <w:r w:rsidR="00A53142">
        <w:t xml:space="preserve"> </w:t>
      </w:r>
      <w:r w:rsidR="002D5FC1">
        <w:t>TP</w:t>
      </w:r>
      <w:r w:rsidR="00A53142">
        <w:t xml:space="preserve">, and </w:t>
      </w:r>
      <w:r w:rsidR="00E84A87">
        <w:t>DOC</w:t>
      </w:r>
      <w:r w:rsidR="001A3EA3">
        <w:t xml:space="preserve"> had detected results below RLs.  However, all had been qualified as not detected (U) due to </w:t>
      </w:r>
      <w:r w:rsidR="00A53142">
        <w:t xml:space="preserve">method or </w:t>
      </w:r>
      <w:r w:rsidR="001A3EA3">
        <w:t xml:space="preserve">trip blank contamination so </w:t>
      </w:r>
      <w:r w:rsidR="00FE4F33">
        <w:t xml:space="preserve">further </w:t>
      </w:r>
      <w:r w:rsidR="001A3EA3">
        <w:t xml:space="preserve">qualification was </w:t>
      </w:r>
      <w:r w:rsidR="00A53142">
        <w:t>un</w:t>
      </w:r>
      <w:r w:rsidR="001A3EA3">
        <w:t>necessary.   Turbidity results for the field blank were below RLs and TDS</w:t>
      </w:r>
      <w:r w:rsidR="00FE4F33">
        <w:t xml:space="preserve"> and</w:t>
      </w:r>
      <w:r w:rsidR="003601D0">
        <w:t xml:space="preserve"> TSS above RLs.</w:t>
      </w:r>
      <w:r w:rsidR="001A3EA3">
        <w:t xml:space="preserve"> </w:t>
      </w:r>
      <w:r w:rsidR="001A3EA3" w:rsidRPr="009D4CB0">
        <w:t xml:space="preserve"> </w:t>
      </w:r>
      <w:r w:rsidR="00041FFD">
        <w:t xml:space="preserve">Associated detected results below RLs were qualified as not detected (U).  </w:t>
      </w:r>
      <w:r w:rsidR="001A3EA3">
        <w:t xml:space="preserve">Associated </w:t>
      </w:r>
      <w:r w:rsidR="00FE4F33">
        <w:t xml:space="preserve">detected </w:t>
      </w:r>
      <w:r w:rsidR="001A3EA3">
        <w:t xml:space="preserve">results </w:t>
      </w:r>
      <w:r w:rsidR="001A3EA3" w:rsidRPr="009D4CB0">
        <w:t>above RLs but less than 10</w:t>
      </w:r>
      <w:r w:rsidR="001A3EA3">
        <w:t xml:space="preserve"> times</w:t>
      </w:r>
      <w:r w:rsidR="001A3EA3" w:rsidRPr="009D4CB0">
        <w:t xml:space="preserve"> the </w:t>
      </w:r>
      <w:r w:rsidR="001A3EA3">
        <w:t xml:space="preserve">field </w:t>
      </w:r>
      <w:r w:rsidR="001A3EA3" w:rsidRPr="009D4CB0">
        <w:t xml:space="preserve">blank results were qualified as estimated and possibly biased high (J+).  </w:t>
      </w:r>
      <w:r w:rsidR="00D85AFA">
        <w:t>Field blank associated qualifications are listed on Table 4.3-1.</w:t>
      </w:r>
      <w:r w:rsidR="001A3EA3">
        <w:t xml:space="preserve">  </w:t>
      </w:r>
    </w:p>
    <w:p w:rsidR="00041FFD" w:rsidRDefault="00041FFD" w:rsidP="00041FFD">
      <w:pPr>
        <w:pStyle w:val="BodyText"/>
      </w:pPr>
      <w:r>
        <w:t xml:space="preserve">The trip blank associated with the low level mercury analysis contained mercury below the RL.  </w:t>
      </w:r>
      <w:r w:rsidRPr="00F81FD2">
        <w:t>Associated detected mercury results less than the RL</w:t>
      </w:r>
      <w:r w:rsidRPr="00F81FD2">
        <w:rPr>
          <w:color w:val="000000"/>
        </w:rPr>
        <w:t xml:space="preserve"> were qualified as not detected (U).  </w:t>
      </w:r>
      <w:r w:rsidRPr="00F81FD2">
        <w:t xml:space="preserve">Detected </w:t>
      </w:r>
      <w:r>
        <w:t>mercury</w:t>
      </w:r>
      <w:r w:rsidRPr="00F81FD2">
        <w:t xml:space="preserve"> results above RLs but less than 10x the blank result were qualified as estimated and possibly biased high (J+).</w:t>
      </w:r>
      <w:r>
        <w:t xml:space="preserve">  The dissolved mercury results for </w:t>
      </w:r>
      <w:r w:rsidRPr="00F81FD2">
        <w:t xml:space="preserve">samples </w:t>
      </w:r>
      <w:r w:rsidRPr="00F81FD2">
        <w:rPr>
          <w:color w:val="000000"/>
        </w:rPr>
        <w:t>WQSWB</w:t>
      </w:r>
      <w:r>
        <w:rPr>
          <w:color w:val="000000"/>
        </w:rPr>
        <w:t>142.3RB,</w:t>
      </w:r>
      <w:r>
        <w:t xml:space="preserve"> </w:t>
      </w:r>
      <w:r w:rsidRPr="00F81FD2">
        <w:rPr>
          <w:color w:val="000000"/>
        </w:rPr>
        <w:t>WQSWB</w:t>
      </w:r>
      <w:r>
        <w:rPr>
          <w:color w:val="000000"/>
        </w:rPr>
        <w:t xml:space="preserve">142.3MT, </w:t>
      </w:r>
      <w:r w:rsidRPr="00F81FD2">
        <w:rPr>
          <w:color w:val="000000"/>
        </w:rPr>
        <w:t>WQSWB</w:t>
      </w:r>
      <w:r>
        <w:rPr>
          <w:color w:val="000000"/>
        </w:rPr>
        <w:t xml:space="preserve">142.3RD, </w:t>
      </w:r>
      <w:r w:rsidRPr="00F81FD2">
        <w:rPr>
          <w:color w:val="000000"/>
        </w:rPr>
        <w:t>WQSWB</w:t>
      </w:r>
      <w:r>
        <w:rPr>
          <w:color w:val="000000"/>
        </w:rPr>
        <w:t>142.3LT, W</w:t>
      </w:r>
      <w:r w:rsidRPr="00F81FD2">
        <w:rPr>
          <w:color w:val="000000"/>
        </w:rPr>
        <w:t>QSWB</w:t>
      </w:r>
      <w:r>
        <w:rPr>
          <w:color w:val="000000"/>
        </w:rPr>
        <w:t>142.3LB, WQSWB118.6LT,</w:t>
      </w:r>
      <w:r w:rsidRPr="00CD50B5">
        <w:rPr>
          <w:color w:val="000000"/>
        </w:rPr>
        <w:t xml:space="preserve"> </w:t>
      </w:r>
      <w:r>
        <w:rPr>
          <w:color w:val="000000"/>
        </w:rPr>
        <w:t>WQSWB118.6LB, WQSWB118.6MT,</w:t>
      </w:r>
      <w:r w:rsidRPr="00CD50B5">
        <w:rPr>
          <w:color w:val="000000"/>
        </w:rPr>
        <w:t xml:space="preserve"> </w:t>
      </w:r>
      <w:r>
        <w:rPr>
          <w:color w:val="000000"/>
        </w:rPr>
        <w:lastRenderedPageBreak/>
        <w:t>WQSWB118.6MB, WQSWB118.6RT, WQSWB118.6RB, and field blank WQSWB118.6FB and the total mercury result for field blank WQSWB118.6FB were qualified as not detected (U).</w:t>
      </w:r>
    </w:p>
    <w:p w:rsidR="00412328" w:rsidRDefault="00382CD2" w:rsidP="00382CD2">
      <w:pPr>
        <w:pStyle w:val="Heading2"/>
      </w:pPr>
      <w:bookmarkStart w:id="9" w:name="_Toc384377941"/>
      <w:r>
        <w:t>Matrix Spike/Matrix Spike Duplicate</w:t>
      </w:r>
      <w:r w:rsidR="00CE5B5A">
        <w:t xml:space="preserve"> (MS/MSD)</w:t>
      </w:r>
      <w:bookmarkEnd w:id="9"/>
    </w:p>
    <w:p w:rsidR="006551B1" w:rsidRDefault="00412328" w:rsidP="00BB5A28">
      <w:pPr>
        <w:pStyle w:val="BodyText"/>
      </w:pPr>
      <w:r>
        <w:t>MS/MSD analyses were performed on sample</w:t>
      </w:r>
      <w:r w:rsidRPr="00780B35">
        <w:t xml:space="preserve"> </w:t>
      </w:r>
      <w:r w:rsidRPr="001B0E84">
        <w:t>WQSWB</w:t>
      </w:r>
      <w:r w:rsidR="00822488">
        <w:t>118.6LB</w:t>
      </w:r>
      <w:r>
        <w:t xml:space="preserve">.  Percent recoveries and relative percent differences were within </w:t>
      </w:r>
      <w:r w:rsidR="00FA4C31">
        <w:t>quality control (</w:t>
      </w:r>
      <w:r>
        <w:t>QC</w:t>
      </w:r>
      <w:r w:rsidR="00FA4C31">
        <w:t>)</w:t>
      </w:r>
      <w:r>
        <w:t xml:space="preserve"> limits</w:t>
      </w:r>
      <w:r w:rsidR="00822488">
        <w:t xml:space="preserve"> with the following exceptions</w:t>
      </w:r>
      <w:r>
        <w:t xml:space="preserve">.  </w:t>
      </w:r>
      <w:r w:rsidR="00822488">
        <w:t xml:space="preserve">For the total metals analysis, arsenic, barium, calcium, copper, iron, lead, magnesium, manganese, nickel, vanadium, and zinc were recovered from the MS below the </w:t>
      </w:r>
      <w:r w:rsidR="00D01F12">
        <w:t xml:space="preserve">QAPP-specified </w:t>
      </w:r>
      <w:r w:rsidR="00822488">
        <w:t xml:space="preserve">QC limit and arsenic, barium, copper, iron, lead, manganese, nickel, vanadium, and zinc were recovered from the MSD below the </w:t>
      </w:r>
      <w:r w:rsidR="00D01F12">
        <w:t xml:space="preserve">QAPP-specified </w:t>
      </w:r>
      <w:r w:rsidR="00822488">
        <w:t>QC limit.</w:t>
      </w:r>
      <w:r>
        <w:t xml:space="preserve"> </w:t>
      </w:r>
      <w:r w:rsidR="00D01F12">
        <w:t xml:space="preserve"> </w:t>
      </w:r>
      <w:r w:rsidR="008F41BD">
        <w:t>For barium, calcium, iron, magnesium, manganese, nickel and vanadium, the sample concentration was greater than four times the spike</w:t>
      </w:r>
      <w:r w:rsidR="006551B1">
        <w:t>d</w:t>
      </w:r>
      <w:r w:rsidR="008F41BD">
        <w:t xml:space="preserve"> amount, overwhelming the spiking solution, so no qualifications were applied.</w:t>
      </w:r>
      <w:r w:rsidR="006551B1">
        <w:t xml:space="preserve">  Also, total zinc results for samples </w:t>
      </w:r>
      <w:r w:rsidR="006551B1" w:rsidRPr="001D2A4D">
        <w:t>WQSWB</w:t>
      </w:r>
      <w:r w:rsidR="006551B1">
        <w:t>142</w:t>
      </w:r>
      <w:r w:rsidR="006551B1" w:rsidRPr="001D2A4D">
        <w:t>.</w:t>
      </w:r>
      <w:r w:rsidR="006551B1">
        <w:t>3</w:t>
      </w:r>
      <w:r w:rsidR="006551B1" w:rsidRPr="001D2A4D">
        <w:t>R</w:t>
      </w:r>
      <w:r w:rsidR="006551B1">
        <w:t xml:space="preserve">T, </w:t>
      </w:r>
      <w:r w:rsidR="006551B1" w:rsidRPr="001D2A4D">
        <w:t>WQSWB</w:t>
      </w:r>
      <w:r w:rsidR="006551B1">
        <w:t>142</w:t>
      </w:r>
      <w:r w:rsidR="006551B1" w:rsidRPr="001D2A4D">
        <w:t>.</w:t>
      </w:r>
      <w:r w:rsidR="006551B1">
        <w:t>3</w:t>
      </w:r>
      <w:r w:rsidR="006551B1" w:rsidRPr="001D2A4D">
        <w:t>R</w:t>
      </w:r>
      <w:r w:rsidR="006551B1">
        <w:t>B,</w:t>
      </w:r>
      <w:r w:rsidR="006551B1" w:rsidRPr="001D2A4D">
        <w:t xml:space="preserve"> WQSWB</w:t>
      </w:r>
      <w:r w:rsidR="006551B1">
        <w:t>142</w:t>
      </w:r>
      <w:r w:rsidR="006551B1" w:rsidRPr="001D2A4D">
        <w:t>.</w:t>
      </w:r>
      <w:r w:rsidR="006551B1">
        <w:t>3MT,</w:t>
      </w:r>
      <w:r w:rsidR="006551B1" w:rsidRPr="001D2A4D">
        <w:t xml:space="preserve"> WQSWB</w:t>
      </w:r>
      <w:r w:rsidR="006551B1">
        <w:t>142</w:t>
      </w:r>
      <w:r w:rsidR="006551B1" w:rsidRPr="001D2A4D">
        <w:t>.</w:t>
      </w:r>
      <w:r w:rsidR="006551B1">
        <w:t>3</w:t>
      </w:r>
      <w:r w:rsidR="006551B1" w:rsidRPr="001D2A4D">
        <w:t>R</w:t>
      </w:r>
      <w:r w:rsidR="006551B1">
        <w:t>D,</w:t>
      </w:r>
      <w:r w:rsidR="006551B1" w:rsidRPr="001D2A4D">
        <w:t xml:space="preserve"> WQSWB</w:t>
      </w:r>
      <w:r w:rsidR="006551B1">
        <w:t>142</w:t>
      </w:r>
      <w:r w:rsidR="006551B1" w:rsidRPr="001D2A4D">
        <w:t>.</w:t>
      </w:r>
      <w:r w:rsidR="006551B1">
        <w:t>3LT,</w:t>
      </w:r>
      <w:r w:rsidR="006551B1" w:rsidRPr="001D2A4D">
        <w:t xml:space="preserve"> </w:t>
      </w:r>
      <w:r w:rsidR="006551B1">
        <w:t xml:space="preserve">and </w:t>
      </w:r>
      <w:r w:rsidR="006551B1" w:rsidRPr="001D2A4D">
        <w:t>WQSWB</w:t>
      </w:r>
      <w:r w:rsidR="006551B1">
        <w:t>142</w:t>
      </w:r>
      <w:r w:rsidR="006551B1" w:rsidRPr="001D2A4D">
        <w:t>.</w:t>
      </w:r>
      <w:r w:rsidR="006551B1">
        <w:t xml:space="preserve">3LB were already qualified as estimated with a possible high bias (J+) due to field blank contamination, so were not qualified further.  </w:t>
      </w:r>
      <w:r w:rsidR="00DD3E93">
        <w:t>The remaining total metals results were qualified as shown in Table 4.4-1.  T</w:t>
      </w:r>
      <w:r w:rsidR="0065522B">
        <w:t xml:space="preserve">he project-specific MS for the </w:t>
      </w:r>
      <w:r w:rsidR="00D1177B">
        <w:t>TP</w:t>
      </w:r>
      <w:r w:rsidR="0065522B">
        <w:t xml:space="preserve"> analysis was recovered above the QC limit.  All detected </w:t>
      </w:r>
      <w:r w:rsidR="00D1177B">
        <w:t>TP</w:t>
      </w:r>
      <w:r w:rsidR="0065522B">
        <w:t xml:space="preserve"> results were </w:t>
      </w:r>
      <w:r w:rsidR="00B459C0">
        <w:t>rejected as unusable</w:t>
      </w:r>
      <w:r w:rsidR="0065522B">
        <w:t xml:space="preserve"> (</w:t>
      </w:r>
      <w:r w:rsidR="00B459C0">
        <w:t>R</w:t>
      </w:r>
      <w:r w:rsidR="0065522B">
        <w:t>)</w:t>
      </w:r>
      <w:r w:rsidR="00B459C0">
        <w:t xml:space="preserve"> due to suspect matrix interference</w:t>
      </w:r>
      <w:r w:rsidR="00DD3E93">
        <w:t xml:space="preserve"> (Table 4.4-1)</w:t>
      </w:r>
      <w:r w:rsidR="0065522B">
        <w:t xml:space="preserve">.  </w:t>
      </w:r>
      <w:r w:rsidR="00DD3E93">
        <w:t>One or more</w:t>
      </w:r>
      <w:r w:rsidR="0065522B">
        <w:t xml:space="preserve"> </w:t>
      </w:r>
      <w:r w:rsidR="006551B1">
        <w:t>MS</w:t>
      </w:r>
      <w:r w:rsidR="0065522B">
        <w:t>s</w:t>
      </w:r>
      <w:r w:rsidR="006551B1">
        <w:t xml:space="preserve"> for the </w:t>
      </w:r>
      <w:r w:rsidR="0065522B">
        <w:t xml:space="preserve">total </w:t>
      </w:r>
      <w:r w:rsidR="006551B1">
        <w:t xml:space="preserve">nitrate/nitrite </w:t>
      </w:r>
      <w:r w:rsidR="0065522B">
        <w:t xml:space="preserve">and </w:t>
      </w:r>
      <w:r w:rsidR="00B459C0" w:rsidRPr="00B459C0">
        <w:t>D</w:t>
      </w:r>
      <w:r w:rsidR="0065522B" w:rsidRPr="00B459C0">
        <w:t xml:space="preserve">OC </w:t>
      </w:r>
      <w:r w:rsidR="006551B1" w:rsidRPr="00B459C0">
        <w:t>a</w:t>
      </w:r>
      <w:r w:rsidR="006551B1">
        <w:t>nalys</w:t>
      </w:r>
      <w:r w:rsidR="0065522B">
        <w:t>es</w:t>
      </w:r>
      <w:r w:rsidR="006551B1">
        <w:t xml:space="preserve"> </w:t>
      </w:r>
      <w:r w:rsidR="00DD3E93">
        <w:t xml:space="preserve">exceeded QC criteria, but </w:t>
      </w:r>
      <w:r w:rsidR="006551B1">
        <w:t>w</w:t>
      </w:r>
      <w:r w:rsidR="0065522B">
        <w:t>ere</w:t>
      </w:r>
      <w:r w:rsidR="006551B1">
        <w:t xml:space="preserve"> performed on non-project sample</w:t>
      </w:r>
      <w:r w:rsidR="0065522B">
        <w:t>s</w:t>
      </w:r>
      <w:r w:rsidR="006551B1">
        <w:t xml:space="preserve"> </w:t>
      </w:r>
      <w:r w:rsidR="00DD3E93">
        <w:t>so</w:t>
      </w:r>
      <w:r w:rsidR="006551B1">
        <w:t xml:space="preserve"> w</w:t>
      </w:r>
      <w:r w:rsidR="0065522B">
        <w:t>ere</w:t>
      </w:r>
      <w:r w:rsidR="006551B1">
        <w:t xml:space="preserve"> not considered for this verification effort. </w:t>
      </w:r>
    </w:p>
    <w:p w:rsidR="00412328" w:rsidRPr="009F6A67" w:rsidRDefault="00382CD2" w:rsidP="00382CD2">
      <w:pPr>
        <w:pStyle w:val="Heading2"/>
      </w:pPr>
      <w:bookmarkStart w:id="10" w:name="_Toc384377942"/>
      <w:r>
        <w:t>Laboratory Duplicate Sample Analysis</w:t>
      </w:r>
      <w:bookmarkEnd w:id="10"/>
    </w:p>
    <w:p w:rsidR="00412328" w:rsidRPr="00BB5A28" w:rsidRDefault="00412328" w:rsidP="00BB5A28">
      <w:pPr>
        <w:pStyle w:val="BodyText"/>
      </w:pPr>
      <w:r w:rsidRPr="00BB5A28">
        <w:t xml:space="preserve">Laboratory duplicate relative percent differences </w:t>
      </w:r>
      <w:r w:rsidR="003148E3">
        <w:t>(RPD</w:t>
      </w:r>
      <w:r w:rsidR="00CE5B5A">
        <w:t>s</w:t>
      </w:r>
      <w:r w:rsidR="003148E3">
        <w:t xml:space="preserve">) </w:t>
      </w:r>
      <w:r w:rsidRPr="00BB5A28">
        <w:t xml:space="preserve">for the various analyses were within specified </w:t>
      </w:r>
      <w:r w:rsidR="00540958">
        <w:t>quality control (</w:t>
      </w:r>
      <w:r w:rsidRPr="00BB5A28">
        <w:t>QC</w:t>
      </w:r>
      <w:r w:rsidR="00540958">
        <w:t>)</w:t>
      </w:r>
      <w:r w:rsidRPr="00BB5A28">
        <w:t xml:space="preserve"> limits with the following exception</w:t>
      </w:r>
      <w:r w:rsidR="00C83C3A">
        <w:t>s</w:t>
      </w:r>
      <w:r w:rsidRPr="00BB5A28">
        <w:t xml:space="preserve">.  One of the </w:t>
      </w:r>
      <w:r w:rsidR="00C83C3A">
        <w:t xml:space="preserve">turbidity </w:t>
      </w:r>
      <w:proofErr w:type="gramStart"/>
      <w:r w:rsidR="00C83C3A">
        <w:t>laboratory</w:t>
      </w:r>
      <w:proofErr w:type="gramEnd"/>
      <w:r w:rsidR="00C83C3A">
        <w:t xml:space="preserve"> duplicate</w:t>
      </w:r>
      <w:r w:rsidR="00953B23">
        <w:t xml:space="preserve"> </w:t>
      </w:r>
      <w:r w:rsidR="00C83C3A">
        <w:t xml:space="preserve">RPDs (15.4) exceeded the QAPP-specified QC limit of 10, but the other duplicate RPD didn’t.  Neither exceeded the laboratory QC limit of 20.  No data were qualified.  Two </w:t>
      </w:r>
      <w:r w:rsidR="0001797C">
        <w:t xml:space="preserve">of three </w:t>
      </w:r>
      <w:r w:rsidR="00C83C3A">
        <w:t>TDS</w:t>
      </w:r>
      <w:r w:rsidRPr="00BB5A28">
        <w:t xml:space="preserve"> laboratory duplicate RPDs </w:t>
      </w:r>
      <w:r w:rsidR="00C83C3A">
        <w:t xml:space="preserve">exceeded the </w:t>
      </w:r>
      <w:r w:rsidRPr="00BB5A28">
        <w:t>QC limit</w:t>
      </w:r>
      <w:r w:rsidR="00E75E94">
        <w:t xml:space="preserve"> of 5</w:t>
      </w:r>
      <w:r w:rsidRPr="00BB5A28">
        <w:t>.  T</w:t>
      </w:r>
      <w:r w:rsidR="00C83C3A">
        <w:t>D</w:t>
      </w:r>
      <w:r w:rsidRPr="00BB5A28">
        <w:t>S results for the associated samples were qualified as estimated (J).  This impacted samples WQSWB</w:t>
      </w:r>
      <w:r w:rsidR="0001797C">
        <w:t>142.3RB,</w:t>
      </w:r>
      <w:r w:rsidR="00E41972">
        <w:t xml:space="preserve"> </w:t>
      </w:r>
      <w:r w:rsidR="0001797C" w:rsidRPr="00BB5A28">
        <w:t>WQSWB</w:t>
      </w:r>
      <w:r w:rsidR="0001797C">
        <w:t xml:space="preserve">142.3MT, </w:t>
      </w:r>
      <w:r w:rsidR="0001797C" w:rsidRPr="00BB5A28">
        <w:t>WQSWB</w:t>
      </w:r>
      <w:r w:rsidR="0001797C">
        <w:t>142.3RD,</w:t>
      </w:r>
      <w:r w:rsidR="0001797C" w:rsidRPr="0001797C">
        <w:t xml:space="preserve"> </w:t>
      </w:r>
      <w:r w:rsidR="0001797C" w:rsidRPr="00BB5A28">
        <w:t>WQSWB</w:t>
      </w:r>
      <w:r w:rsidR="0001797C">
        <w:t xml:space="preserve">142.3LT, </w:t>
      </w:r>
      <w:r w:rsidR="0001797C" w:rsidRPr="00BB5A28">
        <w:t>WQSWB</w:t>
      </w:r>
      <w:r w:rsidR="0001797C">
        <w:t xml:space="preserve">142.3LB, </w:t>
      </w:r>
      <w:r w:rsidR="0001797C" w:rsidRPr="00BB5A28">
        <w:t>WQSWB</w:t>
      </w:r>
      <w:r w:rsidR="0001797C">
        <w:t xml:space="preserve">118.6LT, </w:t>
      </w:r>
      <w:r w:rsidR="0001797C" w:rsidRPr="00BB5A28">
        <w:t>WQSWB</w:t>
      </w:r>
      <w:r w:rsidR="0001797C">
        <w:t>118.6LB,</w:t>
      </w:r>
      <w:r w:rsidR="0001797C" w:rsidRPr="0001797C">
        <w:t xml:space="preserve"> </w:t>
      </w:r>
      <w:r w:rsidR="0001797C" w:rsidRPr="00BB5A28">
        <w:t>WQSWB</w:t>
      </w:r>
      <w:r w:rsidR="0001797C">
        <w:t xml:space="preserve">118.6MT, </w:t>
      </w:r>
      <w:r w:rsidR="00C60D07">
        <w:t xml:space="preserve">and </w:t>
      </w:r>
      <w:r w:rsidR="00C60D07" w:rsidRPr="00BB5A28">
        <w:t>WQSWB</w:t>
      </w:r>
      <w:r w:rsidR="00C60D07">
        <w:t>118.6FB</w:t>
      </w:r>
      <w:r w:rsidRPr="00BB5A28">
        <w:t xml:space="preserve">.  </w:t>
      </w:r>
      <w:r w:rsidR="00C60D07">
        <w:t xml:space="preserve">The remaining TDS results had been qualified as estimated with a high bias (J+) because of field blank contamination so were not qualified further. </w:t>
      </w:r>
      <w:r w:rsidRPr="00BB5A28">
        <w:t xml:space="preserve">  </w:t>
      </w:r>
    </w:p>
    <w:p w:rsidR="00412328" w:rsidRDefault="00382CD2" w:rsidP="00382CD2">
      <w:pPr>
        <w:pStyle w:val="Heading2"/>
      </w:pPr>
      <w:bookmarkStart w:id="11" w:name="_Toc384377943"/>
      <w:r>
        <w:t>Spike Sample Analysis</w:t>
      </w:r>
      <w:bookmarkEnd w:id="11"/>
    </w:p>
    <w:p w:rsidR="000865BA" w:rsidRDefault="003601D0" w:rsidP="003601D0">
      <w:pPr>
        <w:pStyle w:val="BodyText"/>
      </w:pPr>
      <w:r>
        <w:t xml:space="preserve">Post digestion spikes were </w:t>
      </w:r>
      <w:r w:rsidR="000249B0">
        <w:t>performed</w:t>
      </w:r>
      <w:r>
        <w:t xml:space="preserve"> successfully for all samples due to matrix interference. </w:t>
      </w:r>
    </w:p>
    <w:p w:rsidR="00412328" w:rsidRPr="000D2AA7" w:rsidRDefault="003601D0" w:rsidP="000865BA">
      <w:pPr>
        <w:pStyle w:val="Heading2"/>
      </w:pPr>
      <w:r>
        <w:t xml:space="preserve"> </w:t>
      </w:r>
      <w:bookmarkStart w:id="12" w:name="_Toc384377944"/>
      <w:r w:rsidR="00412328" w:rsidRPr="000D2AA7">
        <w:t xml:space="preserve">ICP </w:t>
      </w:r>
      <w:r w:rsidR="00382CD2">
        <w:t>Serial Dilution</w:t>
      </w:r>
      <w:bookmarkEnd w:id="12"/>
    </w:p>
    <w:p w:rsidR="00412328" w:rsidRDefault="00FA4C31" w:rsidP="00382CD2">
      <w:pPr>
        <w:pStyle w:val="BodyText"/>
      </w:pPr>
      <w:r w:rsidRPr="000C4BF3">
        <w:t xml:space="preserve">No </w:t>
      </w:r>
      <w:r>
        <w:t>inductively coupled plasma (</w:t>
      </w:r>
      <w:r w:rsidRPr="000C4BF3">
        <w:t>ICP</w:t>
      </w:r>
      <w:r>
        <w:t>)</w:t>
      </w:r>
      <w:r w:rsidR="00412328" w:rsidRPr="000C4BF3">
        <w:t xml:space="preserve"> serial dilution results were provided in the data package.</w:t>
      </w:r>
      <w:r w:rsidR="00412328">
        <w:t xml:space="preserve">  </w:t>
      </w:r>
    </w:p>
    <w:p w:rsidR="00412328" w:rsidRPr="009D5178" w:rsidRDefault="00382CD2" w:rsidP="00382CD2">
      <w:pPr>
        <w:pStyle w:val="Heading2"/>
      </w:pPr>
      <w:bookmarkStart w:id="13" w:name="_Toc384377945"/>
      <w:r>
        <w:lastRenderedPageBreak/>
        <w:t xml:space="preserve">Field </w:t>
      </w:r>
      <w:r w:rsidR="00BB5A28">
        <w:t>Duplicates</w:t>
      </w:r>
      <w:bookmarkEnd w:id="13"/>
    </w:p>
    <w:p w:rsidR="00412328" w:rsidRDefault="00412328" w:rsidP="00382CD2">
      <w:pPr>
        <w:pStyle w:val="BodyText"/>
      </w:pPr>
      <w:r>
        <w:t>Field duplicate</w:t>
      </w:r>
      <w:r w:rsidR="00C60D07">
        <w:t xml:space="preserve"> pair</w:t>
      </w:r>
      <w:r>
        <w:t xml:space="preserve"> </w:t>
      </w:r>
      <w:r w:rsidRPr="00E16B17">
        <w:t>WQSWB</w:t>
      </w:r>
      <w:r w:rsidR="00C60D07">
        <w:t>142.3</w:t>
      </w:r>
      <w:r w:rsidRPr="00E16B17">
        <w:t xml:space="preserve">RT </w:t>
      </w:r>
      <w:r>
        <w:t xml:space="preserve">and </w:t>
      </w:r>
      <w:r w:rsidRPr="00E16B17">
        <w:t>WQSWB</w:t>
      </w:r>
      <w:r w:rsidR="00C60D07">
        <w:t>1</w:t>
      </w:r>
      <w:r w:rsidR="00823C6A">
        <w:t>4</w:t>
      </w:r>
      <w:r w:rsidR="00C60D07">
        <w:t>2</w:t>
      </w:r>
      <w:r w:rsidR="00823C6A">
        <w:t>.</w:t>
      </w:r>
      <w:r w:rsidR="00C60D07">
        <w:t>3RD</w:t>
      </w:r>
      <w:r>
        <w:t xml:space="preserve"> </w:t>
      </w:r>
      <w:proofErr w:type="gramStart"/>
      <w:r>
        <w:t>were</w:t>
      </w:r>
      <w:proofErr w:type="gramEnd"/>
      <w:r>
        <w:t xml:space="preserve"> analyzed for </w:t>
      </w:r>
      <w:r w:rsidR="00823C6A" w:rsidRPr="00C2638E">
        <w:t>alkalinity, NH</w:t>
      </w:r>
      <w:r w:rsidR="00823C6A" w:rsidRPr="00412328">
        <w:rPr>
          <w:vertAlign w:val="subscript"/>
        </w:rPr>
        <w:t>3</w:t>
      </w:r>
      <w:r w:rsidR="00823C6A" w:rsidRPr="00C2638E">
        <w:t>, dissolved hardness, total and dissolved LL merc</w:t>
      </w:r>
      <w:r w:rsidR="00823C6A" w:rsidRPr="001B1A9E">
        <w:t xml:space="preserve">ury, </w:t>
      </w:r>
      <w:r w:rsidR="00E84A87" w:rsidRPr="001B1A9E">
        <w:t>D</w:t>
      </w:r>
      <w:r w:rsidR="00823C6A" w:rsidRPr="001B1A9E">
        <w:t>OC</w:t>
      </w:r>
      <w:r w:rsidR="00823C6A" w:rsidRPr="00C2638E">
        <w:t xml:space="preserve">, total and dissolved LL metals, nitrate/nitrite, </w:t>
      </w:r>
      <w:r w:rsidR="00823C6A">
        <w:t>pH,</w:t>
      </w:r>
      <w:r w:rsidR="00823C6A" w:rsidRPr="00C2638E">
        <w:t xml:space="preserve"> </w:t>
      </w:r>
      <w:r w:rsidR="00D1177B">
        <w:t>TP</w:t>
      </w:r>
      <w:r w:rsidR="00823C6A">
        <w:t>,</w:t>
      </w:r>
      <w:r w:rsidR="00823C6A" w:rsidRPr="00C2638E">
        <w:t xml:space="preserve"> </w:t>
      </w:r>
      <w:r w:rsidR="00D1177B">
        <w:t>SRP</w:t>
      </w:r>
      <w:r w:rsidR="00823C6A" w:rsidRPr="00C2638E">
        <w:t>, TKN, TDS, TSS, and turbidity</w:t>
      </w:r>
      <w:r w:rsidR="00823C6A">
        <w:t xml:space="preserve">. </w:t>
      </w:r>
      <w:r>
        <w:t xml:space="preserve">RPDs were within </w:t>
      </w:r>
      <w:r w:rsidR="00823C6A">
        <w:t xml:space="preserve">QAPP-specified </w:t>
      </w:r>
      <w:r>
        <w:t>control limit</w:t>
      </w:r>
      <w:r w:rsidR="00823C6A">
        <w:t>s</w:t>
      </w:r>
      <w:r>
        <w:t xml:space="preserve"> </w:t>
      </w:r>
      <w:r w:rsidR="007168D2">
        <w:t xml:space="preserve">except for those identified in </w:t>
      </w:r>
      <w:r w:rsidR="007168D2" w:rsidRPr="0097559A">
        <w:t>Table 4.8-1.</w:t>
      </w:r>
      <w:r>
        <w:t xml:space="preserve">  </w:t>
      </w:r>
    </w:p>
    <w:p w:rsidR="00412328" w:rsidRDefault="00382CD2" w:rsidP="00382CD2">
      <w:pPr>
        <w:pStyle w:val="Heading2"/>
      </w:pPr>
      <w:bookmarkStart w:id="14" w:name="_Toc384377946"/>
      <w:r>
        <w:t xml:space="preserve">Laboratory Control </w:t>
      </w:r>
      <w:r w:rsidR="00D73635">
        <w:t xml:space="preserve">Sample </w:t>
      </w:r>
      <w:r w:rsidR="00243CE2">
        <w:t xml:space="preserve">(LCS) </w:t>
      </w:r>
      <w:r w:rsidR="00D73635">
        <w:t xml:space="preserve">and </w:t>
      </w:r>
      <w:r w:rsidR="00243CE2">
        <w:t>LCS</w:t>
      </w:r>
      <w:r w:rsidR="00D73635">
        <w:t xml:space="preserve"> Duplicates</w:t>
      </w:r>
      <w:r w:rsidR="00412328">
        <w:t xml:space="preserve"> </w:t>
      </w:r>
      <w:r w:rsidR="001B39B3">
        <w:t>(LCSD</w:t>
      </w:r>
      <w:r w:rsidR="00412328">
        <w:t>)</w:t>
      </w:r>
      <w:bookmarkEnd w:id="14"/>
    </w:p>
    <w:p w:rsidR="00412328" w:rsidRPr="00382CD2" w:rsidRDefault="00412328" w:rsidP="00382CD2">
      <w:pPr>
        <w:pStyle w:val="BodyText"/>
      </w:pPr>
      <w:r w:rsidRPr="00382CD2">
        <w:t xml:space="preserve">All LCS </w:t>
      </w:r>
      <w:r w:rsidR="00D73635">
        <w:t>and LCSD percent recoveries and RPDs</w:t>
      </w:r>
      <w:r w:rsidRPr="00382CD2">
        <w:t xml:space="preserve"> were within the QC limits.</w:t>
      </w:r>
    </w:p>
    <w:p w:rsidR="00412328" w:rsidRDefault="00382CD2" w:rsidP="00382CD2">
      <w:pPr>
        <w:pStyle w:val="Heading2"/>
      </w:pPr>
      <w:bookmarkStart w:id="15" w:name="_Toc384377947"/>
      <w:r>
        <w:t>Sample Dilution</w:t>
      </w:r>
      <w:bookmarkEnd w:id="15"/>
    </w:p>
    <w:p w:rsidR="00412328" w:rsidRDefault="008C50A5" w:rsidP="00382CD2">
      <w:pPr>
        <w:pStyle w:val="BodyText"/>
      </w:pPr>
      <w:r>
        <w:t xml:space="preserve">Some of the samples </w:t>
      </w:r>
      <w:r w:rsidR="00412328">
        <w:t>were</w:t>
      </w:r>
      <w:r w:rsidR="00412328" w:rsidRPr="00045FE4">
        <w:t xml:space="preserve"> dilut</w:t>
      </w:r>
      <w:r w:rsidR="00412328">
        <w:t>ed</w:t>
      </w:r>
      <w:r w:rsidR="00412328" w:rsidRPr="00045FE4">
        <w:t xml:space="preserve"> to place the results within the calibration range and/or to </w:t>
      </w:r>
      <w:r w:rsidR="00412328">
        <w:t>minimize</w:t>
      </w:r>
      <w:r w:rsidR="00412328" w:rsidRPr="00045FE4">
        <w:t xml:space="preserve"> matrix interferences.</w:t>
      </w:r>
      <w:r>
        <w:t xml:space="preserve">  </w:t>
      </w:r>
      <w:r w:rsidR="00A67AFB">
        <w:t>Dilutions are summarized on</w:t>
      </w:r>
      <w:r>
        <w:t xml:space="preserve"> Table 4.10-1.</w:t>
      </w:r>
    </w:p>
    <w:p w:rsidR="00412328" w:rsidRDefault="00382CD2" w:rsidP="00382CD2">
      <w:pPr>
        <w:pStyle w:val="Heading2"/>
      </w:pPr>
      <w:bookmarkStart w:id="16" w:name="_Toc384377948"/>
      <w:r>
        <w:t>Re-extraction and Re-analysis</w:t>
      </w:r>
      <w:bookmarkEnd w:id="16"/>
    </w:p>
    <w:p w:rsidR="00412328" w:rsidRDefault="00412328" w:rsidP="00382CD2">
      <w:pPr>
        <w:pStyle w:val="BodyText"/>
      </w:pPr>
      <w:r>
        <w:t>No re-extraction or reanalysis was required for the samples analyzed within this SDG.</w:t>
      </w:r>
    </w:p>
    <w:p w:rsidR="00412328" w:rsidRDefault="00382CD2" w:rsidP="00382CD2">
      <w:pPr>
        <w:pStyle w:val="Heading2"/>
      </w:pPr>
      <w:bookmarkStart w:id="17" w:name="_Toc384377949"/>
      <w:r>
        <w:t>Analyte Quantitation and Reported Detection Limit</w:t>
      </w:r>
      <w:bookmarkEnd w:id="17"/>
    </w:p>
    <w:p w:rsidR="00412328" w:rsidRPr="00045FE4" w:rsidRDefault="00412328" w:rsidP="00382CD2">
      <w:pPr>
        <w:pStyle w:val="BodyText"/>
      </w:pPr>
      <w:r w:rsidRPr="00045FE4">
        <w:t>Sample results below the calibration range, or less than the RL but greater than the MDL, were qualified as estimated (flagged J), unless previously qualified due to other QC exceedances</w:t>
      </w:r>
      <w:r>
        <w:t>.</w:t>
      </w:r>
    </w:p>
    <w:p w:rsidR="00412328" w:rsidRDefault="00382CD2" w:rsidP="00382CD2">
      <w:pPr>
        <w:pStyle w:val="Heading2"/>
      </w:pPr>
      <w:bookmarkStart w:id="18" w:name="_Toc384377950"/>
      <w:r>
        <w:t>Overall Assessment of Data</w:t>
      </w:r>
      <w:bookmarkEnd w:id="18"/>
    </w:p>
    <w:p w:rsidR="00412328" w:rsidRDefault="00412328" w:rsidP="00382CD2">
      <w:pPr>
        <w:pStyle w:val="BodyText"/>
        <w:rPr>
          <w:sz w:val="22"/>
        </w:rPr>
      </w:pPr>
      <w:r w:rsidRPr="00382CD2">
        <w:t>The overall quality of this data package was acceptable.  No results required rejection for this SDG.  The analytical results were qualified as indicated in the above sections for QC exceedances.  All data can be used as qualified.</w:t>
      </w:r>
    </w:p>
    <w:p w:rsidR="00CA33F2" w:rsidRDefault="00CA33F2" w:rsidP="00CA33F2">
      <w:pPr>
        <w:pStyle w:val="Heading1"/>
      </w:pPr>
      <w:bookmarkStart w:id="19" w:name="_Toc384377951"/>
      <w:r>
        <w:t>Literature Cited</w:t>
      </w:r>
      <w:bookmarkEnd w:id="19"/>
    </w:p>
    <w:p w:rsidR="00CA33F2" w:rsidRPr="00F12963" w:rsidRDefault="00EF5837" w:rsidP="003671F4">
      <w:pPr>
        <w:pStyle w:val="Referencetext"/>
      </w:pPr>
      <w:r>
        <w:t xml:space="preserve">U.S. Environmental Protection Agency. 2010. </w:t>
      </w:r>
      <w:r w:rsidR="002076E9">
        <w:t>National Functional Guidelines</w:t>
      </w:r>
      <w:r>
        <w:t xml:space="preserve"> for Inorganic Superfund Data Review. </w:t>
      </w:r>
      <w:proofErr w:type="gramStart"/>
      <w:r>
        <w:t>Office of Superfund Remediation and Technology Innovation.</w:t>
      </w:r>
      <w:proofErr w:type="gramEnd"/>
      <w:r>
        <w:t xml:space="preserve">  </w:t>
      </w:r>
      <w:proofErr w:type="gramStart"/>
      <w:r>
        <w:t>Document USEPA-540-R-10-01</w:t>
      </w:r>
      <w:r w:rsidRPr="00F12963">
        <w:t>1.</w:t>
      </w:r>
      <w:proofErr w:type="gramEnd"/>
      <w:r w:rsidRPr="00F12963">
        <w:t xml:space="preserve">  </w:t>
      </w:r>
      <w:r w:rsidR="002076E9" w:rsidRPr="00F12963">
        <w:t xml:space="preserve">  </w:t>
      </w:r>
    </w:p>
    <w:p w:rsidR="00F41618" w:rsidRDefault="00F41618" w:rsidP="00F41618">
      <w:pPr>
        <w:pStyle w:val="Heading1"/>
      </w:pPr>
      <w:bookmarkStart w:id="20" w:name="_Toc384377952"/>
      <w:r>
        <w:t>Tables</w:t>
      </w:r>
      <w:bookmarkEnd w:id="20"/>
    </w:p>
    <w:p w:rsidR="00BB5A28" w:rsidRDefault="00BB5A28" w:rsidP="00BB5A28">
      <w:pPr>
        <w:pStyle w:val="Caption"/>
      </w:pPr>
      <w:bookmarkStart w:id="21" w:name="_Toc383695110"/>
      <w:proofErr w:type="gramStart"/>
      <w:r>
        <w:t>Table 1.1</w:t>
      </w:r>
      <w:r>
        <w:noBreakHyphen/>
      </w:r>
      <w:proofErr w:type="gramEnd"/>
      <w:r w:rsidR="0092490C">
        <w:fldChar w:fldCharType="begin"/>
      </w:r>
      <w:r w:rsidR="00415A16">
        <w:instrText xml:space="preserve"> SEQ Table \* ARABIC \s 2 </w:instrText>
      </w:r>
      <w:r w:rsidR="0092490C">
        <w:fldChar w:fldCharType="separate"/>
      </w:r>
      <w:r w:rsidR="00461C20">
        <w:rPr>
          <w:noProof/>
        </w:rPr>
        <w:t>1</w:t>
      </w:r>
      <w:r w:rsidR="0092490C">
        <w:rPr>
          <w:noProof/>
        </w:rPr>
        <w:fldChar w:fldCharType="end"/>
      </w:r>
      <w:proofErr w:type="gramStart"/>
      <w:r>
        <w:t>.</w:t>
      </w:r>
      <w:proofErr w:type="gramEnd"/>
      <w:r>
        <w:t xml:space="preserve">  Sample and Laboratory IDs for SDG 1132</w:t>
      </w:r>
      <w:r w:rsidR="006645FA">
        <w:t>615</w:t>
      </w:r>
      <w:bookmarkEnd w:id="21"/>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3983"/>
        <w:gridCol w:w="3708"/>
      </w:tblGrid>
      <w:tr w:rsidR="00BB5A28" w:rsidTr="00A95AD1">
        <w:tc>
          <w:tcPr>
            <w:tcW w:w="939" w:type="pct"/>
            <w:tcBorders>
              <w:top w:val="single" w:sz="4" w:space="0" w:color="auto"/>
              <w:left w:val="single" w:sz="4" w:space="0" w:color="auto"/>
              <w:bottom w:val="single" w:sz="4" w:space="0" w:color="auto"/>
              <w:right w:val="single" w:sz="4" w:space="0" w:color="auto"/>
            </w:tcBorders>
            <w:vAlign w:val="center"/>
          </w:tcPr>
          <w:p w:rsidR="00BB5A28" w:rsidRPr="004B1303" w:rsidRDefault="00BB5A28" w:rsidP="00A44ABD">
            <w:pPr>
              <w:pStyle w:val="TableText"/>
              <w:spacing w:after="0"/>
              <w:rPr>
                <w:b/>
              </w:rPr>
            </w:pPr>
          </w:p>
        </w:tc>
        <w:tc>
          <w:tcPr>
            <w:tcW w:w="2103" w:type="pct"/>
            <w:tcBorders>
              <w:top w:val="single" w:sz="4" w:space="0" w:color="auto"/>
              <w:left w:val="single" w:sz="4" w:space="0" w:color="auto"/>
              <w:bottom w:val="single" w:sz="4" w:space="0" w:color="auto"/>
              <w:right w:val="single" w:sz="4" w:space="0" w:color="auto"/>
            </w:tcBorders>
            <w:vAlign w:val="center"/>
          </w:tcPr>
          <w:p w:rsidR="00BB5A28" w:rsidRPr="00C076D8" w:rsidRDefault="00BB5A28" w:rsidP="00A44ABD">
            <w:pPr>
              <w:pStyle w:val="TableText"/>
              <w:spacing w:after="0"/>
              <w:rPr>
                <w:b/>
              </w:rPr>
            </w:pPr>
            <w:r w:rsidRPr="00C076D8">
              <w:rPr>
                <w:b/>
              </w:rPr>
              <w:t>Sample ID</w:t>
            </w:r>
          </w:p>
        </w:tc>
        <w:tc>
          <w:tcPr>
            <w:tcW w:w="1958" w:type="pct"/>
            <w:tcBorders>
              <w:top w:val="single" w:sz="4" w:space="0" w:color="auto"/>
              <w:left w:val="single" w:sz="4" w:space="0" w:color="auto"/>
              <w:bottom w:val="single" w:sz="4" w:space="0" w:color="auto"/>
              <w:right w:val="single" w:sz="4" w:space="0" w:color="auto"/>
            </w:tcBorders>
          </w:tcPr>
          <w:p w:rsidR="00BB5A28" w:rsidRPr="00C076D8" w:rsidRDefault="00BB5A28" w:rsidP="00A44ABD">
            <w:pPr>
              <w:pStyle w:val="TableText"/>
              <w:spacing w:after="0"/>
              <w:rPr>
                <w:b/>
              </w:rPr>
            </w:pPr>
            <w:r w:rsidRPr="00C076D8">
              <w:rPr>
                <w:b/>
              </w:rPr>
              <w:t>Laboratory ID</w:t>
            </w:r>
          </w:p>
        </w:tc>
      </w:tr>
      <w:tr w:rsidR="002076E9" w:rsidTr="00A95AD1">
        <w:trPr>
          <w:trHeight w:val="606"/>
        </w:trPr>
        <w:tc>
          <w:tcPr>
            <w:tcW w:w="939" w:type="pct"/>
            <w:tcBorders>
              <w:top w:val="single" w:sz="4" w:space="0" w:color="auto"/>
              <w:left w:val="single" w:sz="4" w:space="0" w:color="auto"/>
              <w:bottom w:val="single" w:sz="4" w:space="0" w:color="auto"/>
              <w:right w:val="single" w:sz="4" w:space="0" w:color="auto"/>
            </w:tcBorders>
            <w:vAlign w:val="center"/>
          </w:tcPr>
          <w:p w:rsidR="002076E9" w:rsidRPr="004B1303" w:rsidRDefault="002076E9" w:rsidP="00A44ABD">
            <w:pPr>
              <w:pStyle w:val="TableText"/>
              <w:spacing w:after="0"/>
              <w:rPr>
                <w:b/>
              </w:rPr>
            </w:pPr>
            <w:r w:rsidRPr="004B1303">
              <w:rPr>
                <w:b/>
              </w:rPr>
              <w:t>Samples</w:t>
            </w:r>
            <w:r>
              <w:rPr>
                <w:b/>
              </w:rPr>
              <w:t>:</w:t>
            </w:r>
          </w:p>
        </w:tc>
        <w:tc>
          <w:tcPr>
            <w:tcW w:w="2103" w:type="pct"/>
            <w:tcBorders>
              <w:top w:val="single" w:sz="4" w:space="0" w:color="auto"/>
              <w:left w:val="single" w:sz="4" w:space="0" w:color="auto"/>
              <w:bottom w:val="single" w:sz="4" w:space="0" w:color="auto"/>
              <w:right w:val="single" w:sz="4" w:space="0" w:color="auto"/>
            </w:tcBorders>
            <w:vAlign w:val="center"/>
          </w:tcPr>
          <w:p w:rsidR="002076E9" w:rsidRDefault="002076E9" w:rsidP="00A44ABD">
            <w:pPr>
              <w:pStyle w:val="TableText"/>
              <w:spacing w:after="0"/>
            </w:pPr>
            <w:r>
              <w:t>WQSWB</w:t>
            </w:r>
            <w:r w:rsidR="005545AF">
              <w:t>142.3RT</w:t>
            </w:r>
          </w:p>
          <w:p w:rsidR="005545AF" w:rsidRDefault="005545AF" w:rsidP="00A44ABD">
            <w:pPr>
              <w:pStyle w:val="TableText"/>
              <w:spacing w:after="0"/>
            </w:pPr>
            <w:r>
              <w:t>WQSWB142.3RB</w:t>
            </w:r>
            <w:r w:rsidRPr="001D2A4D">
              <w:t xml:space="preserve"> </w:t>
            </w:r>
          </w:p>
          <w:p w:rsidR="005545AF" w:rsidRDefault="005545AF" w:rsidP="00A44ABD">
            <w:pPr>
              <w:pStyle w:val="TableText"/>
              <w:spacing w:after="0"/>
            </w:pPr>
            <w:r>
              <w:t>WQSWB142.3MT</w:t>
            </w:r>
          </w:p>
          <w:p w:rsidR="005545AF" w:rsidRDefault="005545AF" w:rsidP="00A44ABD">
            <w:pPr>
              <w:pStyle w:val="TableText"/>
              <w:spacing w:after="0"/>
            </w:pPr>
            <w:r>
              <w:t>WQSWB142.3LT</w:t>
            </w:r>
            <w:r w:rsidRPr="001D2A4D">
              <w:t xml:space="preserve"> </w:t>
            </w:r>
          </w:p>
          <w:p w:rsidR="002076E9" w:rsidRDefault="005545AF" w:rsidP="005545AF">
            <w:pPr>
              <w:pStyle w:val="TableText"/>
              <w:spacing w:after="0"/>
            </w:pPr>
            <w:r>
              <w:t>WQSWB142.3LB</w:t>
            </w:r>
          </w:p>
          <w:p w:rsidR="000E3027" w:rsidRDefault="000E3027" w:rsidP="000E3027">
            <w:pPr>
              <w:pStyle w:val="TableText"/>
              <w:spacing w:after="0"/>
            </w:pPr>
            <w:r>
              <w:lastRenderedPageBreak/>
              <w:t>WQSWB118.6LT</w:t>
            </w:r>
          </w:p>
          <w:p w:rsidR="000E3027" w:rsidRDefault="000E3027" w:rsidP="000E3027">
            <w:pPr>
              <w:pStyle w:val="TableText"/>
              <w:spacing w:after="0"/>
            </w:pPr>
            <w:r>
              <w:t>WQSWB118.6LB</w:t>
            </w:r>
          </w:p>
          <w:p w:rsidR="000E3027" w:rsidRDefault="000E3027" w:rsidP="000E3027">
            <w:pPr>
              <w:pStyle w:val="TableText"/>
              <w:spacing w:after="0"/>
            </w:pPr>
            <w:r>
              <w:t>WQSWB118.6MT</w:t>
            </w:r>
          </w:p>
          <w:p w:rsidR="000E3027" w:rsidRDefault="000E3027" w:rsidP="000E3027">
            <w:pPr>
              <w:pStyle w:val="TableText"/>
              <w:spacing w:after="0"/>
            </w:pPr>
            <w:r>
              <w:t>WQSWB118.6MB</w:t>
            </w:r>
          </w:p>
          <w:p w:rsidR="000E3027" w:rsidRDefault="000E3027" w:rsidP="000E3027">
            <w:pPr>
              <w:pStyle w:val="TableText"/>
              <w:spacing w:after="0"/>
            </w:pPr>
            <w:r>
              <w:t>WQSWB118.6RT</w:t>
            </w:r>
          </w:p>
          <w:p w:rsidR="000E3027" w:rsidRPr="00F303A0" w:rsidRDefault="000E3027" w:rsidP="000E3027">
            <w:pPr>
              <w:pStyle w:val="TableText"/>
              <w:spacing w:after="0"/>
            </w:pPr>
            <w:r>
              <w:t>WQSWB118.6RB</w:t>
            </w:r>
          </w:p>
        </w:tc>
        <w:tc>
          <w:tcPr>
            <w:tcW w:w="1958" w:type="pct"/>
            <w:tcBorders>
              <w:top w:val="single" w:sz="4" w:space="0" w:color="auto"/>
              <w:left w:val="single" w:sz="4" w:space="0" w:color="auto"/>
              <w:bottom w:val="single" w:sz="4" w:space="0" w:color="auto"/>
              <w:right w:val="single" w:sz="4" w:space="0" w:color="auto"/>
            </w:tcBorders>
          </w:tcPr>
          <w:p w:rsidR="005545AF" w:rsidRDefault="002076E9" w:rsidP="005545AF">
            <w:pPr>
              <w:pStyle w:val="TableText"/>
              <w:spacing w:after="0"/>
            </w:pPr>
            <w:r>
              <w:lastRenderedPageBreak/>
              <w:t>113</w:t>
            </w:r>
            <w:r w:rsidR="001B139F">
              <w:t>2</w:t>
            </w:r>
            <w:r w:rsidR="005545AF">
              <w:t>615</w:t>
            </w:r>
            <w:r>
              <w:t>00</w:t>
            </w:r>
            <w:r w:rsidR="005545AF">
              <w:t>1</w:t>
            </w:r>
            <w:r>
              <w:t xml:space="preserve"> and 113</w:t>
            </w:r>
            <w:r w:rsidR="001B139F">
              <w:t>2</w:t>
            </w:r>
            <w:r w:rsidR="005545AF">
              <w:t>615</w:t>
            </w:r>
            <w:r>
              <w:t>0</w:t>
            </w:r>
            <w:r w:rsidR="000E3027">
              <w:t>0</w:t>
            </w:r>
            <w:r w:rsidR="005545AF">
              <w:t>7</w:t>
            </w:r>
          </w:p>
          <w:p w:rsidR="005545AF" w:rsidRDefault="005545AF" w:rsidP="005545AF">
            <w:pPr>
              <w:pStyle w:val="TableText"/>
              <w:spacing w:after="0"/>
            </w:pPr>
            <w:r>
              <w:t>113261500</w:t>
            </w:r>
            <w:r w:rsidR="000E3027">
              <w:t>2</w:t>
            </w:r>
            <w:r>
              <w:t xml:space="preserve"> and 11326150</w:t>
            </w:r>
            <w:r w:rsidR="000E3027">
              <w:t>08</w:t>
            </w:r>
          </w:p>
          <w:p w:rsidR="005545AF" w:rsidRDefault="005545AF" w:rsidP="005545AF">
            <w:pPr>
              <w:pStyle w:val="TableText"/>
              <w:spacing w:after="0"/>
            </w:pPr>
            <w:r>
              <w:t>113261500</w:t>
            </w:r>
            <w:r w:rsidR="000E3027">
              <w:t>3</w:t>
            </w:r>
            <w:r>
              <w:t xml:space="preserve"> and 11326150</w:t>
            </w:r>
            <w:r w:rsidR="000E3027">
              <w:t>09</w:t>
            </w:r>
          </w:p>
          <w:p w:rsidR="005545AF" w:rsidRDefault="005545AF" w:rsidP="005545AF">
            <w:pPr>
              <w:pStyle w:val="TableText"/>
              <w:spacing w:after="0"/>
            </w:pPr>
            <w:r>
              <w:t>113261500</w:t>
            </w:r>
            <w:r w:rsidR="000E3027">
              <w:t>5</w:t>
            </w:r>
            <w:r>
              <w:t xml:space="preserve"> and 11326150</w:t>
            </w:r>
            <w:r w:rsidR="000E3027">
              <w:t>11</w:t>
            </w:r>
          </w:p>
          <w:p w:rsidR="005545AF" w:rsidRDefault="005545AF" w:rsidP="005545AF">
            <w:pPr>
              <w:pStyle w:val="TableText"/>
              <w:spacing w:after="0"/>
            </w:pPr>
            <w:r>
              <w:t>113261500</w:t>
            </w:r>
            <w:r w:rsidR="000E3027">
              <w:t>6</w:t>
            </w:r>
            <w:r>
              <w:t xml:space="preserve"> and 11326150</w:t>
            </w:r>
            <w:r w:rsidR="000E3027">
              <w:t>12</w:t>
            </w:r>
          </w:p>
          <w:p w:rsidR="005545AF" w:rsidRDefault="005545AF" w:rsidP="005545AF">
            <w:pPr>
              <w:pStyle w:val="TableText"/>
              <w:spacing w:after="0"/>
            </w:pPr>
            <w:r>
              <w:lastRenderedPageBreak/>
              <w:t>11326150</w:t>
            </w:r>
            <w:r w:rsidR="000E3027">
              <w:t>13</w:t>
            </w:r>
            <w:r>
              <w:t xml:space="preserve"> and 11326150</w:t>
            </w:r>
            <w:r w:rsidR="000E3027">
              <w:t>23</w:t>
            </w:r>
          </w:p>
          <w:p w:rsidR="005545AF" w:rsidRDefault="005545AF" w:rsidP="00A44ABD">
            <w:pPr>
              <w:pStyle w:val="TableText"/>
              <w:spacing w:after="0"/>
            </w:pPr>
            <w:r>
              <w:t>11326150</w:t>
            </w:r>
            <w:r w:rsidR="000E3027">
              <w:t>14</w:t>
            </w:r>
            <w:r>
              <w:t xml:space="preserve"> and 11326150</w:t>
            </w:r>
            <w:r w:rsidR="000E3027">
              <w:t>24</w:t>
            </w:r>
          </w:p>
          <w:p w:rsidR="000E3027" w:rsidRDefault="000E3027" w:rsidP="000E3027">
            <w:pPr>
              <w:pStyle w:val="TableText"/>
              <w:spacing w:after="0"/>
            </w:pPr>
            <w:r>
              <w:t>1132615018 and 1132615025</w:t>
            </w:r>
          </w:p>
          <w:p w:rsidR="000E3027" w:rsidRDefault="000E3027" w:rsidP="000E3027">
            <w:pPr>
              <w:pStyle w:val="TableText"/>
              <w:spacing w:after="0"/>
            </w:pPr>
            <w:r>
              <w:t>1132615019 and 1132615026</w:t>
            </w:r>
          </w:p>
          <w:p w:rsidR="000E3027" w:rsidRDefault="000E3027" w:rsidP="000E3027">
            <w:pPr>
              <w:pStyle w:val="TableText"/>
              <w:spacing w:after="0"/>
            </w:pPr>
            <w:r>
              <w:t>1132615020 and 1132615027</w:t>
            </w:r>
          </w:p>
          <w:p w:rsidR="002076E9" w:rsidRDefault="000E3027" w:rsidP="000E3027">
            <w:pPr>
              <w:pStyle w:val="TableText"/>
              <w:spacing w:after="0"/>
            </w:pPr>
            <w:r>
              <w:t>1132615021 and 1132615028</w:t>
            </w:r>
          </w:p>
        </w:tc>
      </w:tr>
      <w:tr w:rsidR="002076E9" w:rsidTr="00A95AD1">
        <w:trPr>
          <w:trHeight w:val="363"/>
        </w:trPr>
        <w:tc>
          <w:tcPr>
            <w:tcW w:w="939" w:type="pct"/>
            <w:tcBorders>
              <w:top w:val="single" w:sz="4" w:space="0" w:color="auto"/>
              <w:left w:val="single" w:sz="4" w:space="0" w:color="auto"/>
              <w:bottom w:val="single" w:sz="4" w:space="0" w:color="auto"/>
              <w:right w:val="single" w:sz="4" w:space="0" w:color="auto"/>
            </w:tcBorders>
            <w:vAlign w:val="center"/>
          </w:tcPr>
          <w:p w:rsidR="002076E9" w:rsidRPr="004B1303" w:rsidRDefault="002076E9" w:rsidP="00A44ABD">
            <w:pPr>
              <w:pStyle w:val="TableText"/>
              <w:spacing w:after="0"/>
              <w:rPr>
                <w:b/>
              </w:rPr>
            </w:pPr>
            <w:r w:rsidRPr="004B1303">
              <w:rPr>
                <w:b/>
              </w:rPr>
              <w:lastRenderedPageBreak/>
              <w:t>Field Duplicates</w:t>
            </w:r>
            <w:r>
              <w:rPr>
                <w:b/>
              </w:rPr>
              <w:t>:</w:t>
            </w:r>
          </w:p>
        </w:tc>
        <w:tc>
          <w:tcPr>
            <w:tcW w:w="2103" w:type="pct"/>
            <w:tcBorders>
              <w:top w:val="single" w:sz="4" w:space="0" w:color="auto"/>
              <w:left w:val="single" w:sz="4" w:space="0" w:color="auto"/>
              <w:bottom w:val="single" w:sz="4" w:space="0" w:color="auto"/>
              <w:right w:val="single" w:sz="4" w:space="0" w:color="auto"/>
            </w:tcBorders>
            <w:vAlign w:val="center"/>
          </w:tcPr>
          <w:p w:rsidR="002076E9" w:rsidRDefault="005545AF" w:rsidP="000E3027">
            <w:pPr>
              <w:pStyle w:val="TableText"/>
              <w:spacing w:after="0"/>
            </w:pPr>
            <w:r>
              <w:t>WQSWB142.3</w:t>
            </w:r>
            <w:r w:rsidRPr="005545AF">
              <w:t>RD</w:t>
            </w:r>
            <w:r>
              <w:t xml:space="preserve"> (duplicate of</w:t>
            </w:r>
            <w:r w:rsidR="000E3027">
              <w:t xml:space="preserve"> WQSWB142.3</w:t>
            </w:r>
            <w:r w:rsidR="000E3027" w:rsidRPr="005545AF">
              <w:t>R</w:t>
            </w:r>
            <w:r w:rsidR="000E3027">
              <w:t>T</w:t>
            </w:r>
            <w:r>
              <w:t>)</w:t>
            </w:r>
          </w:p>
        </w:tc>
        <w:tc>
          <w:tcPr>
            <w:tcW w:w="1958" w:type="pct"/>
            <w:tcBorders>
              <w:top w:val="single" w:sz="4" w:space="0" w:color="auto"/>
              <w:left w:val="single" w:sz="4" w:space="0" w:color="auto"/>
              <w:bottom w:val="single" w:sz="4" w:space="0" w:color="auto"/>
              <w:right w:val="single" w:sz="4" w:space="0" w:color="auto"/>
            </w:tcBorders>
          </w:tcPr>
          <w:p w:rsidR="002076E9" w:rsidRPr="00E16B17" w:rsidRDefault="005545AF" w:rsidP="000E3027">
            <w:pPr>
              <w:pStyle w:val="TableText"/>
              <w:spacing w:after="0"/>
            </w:pPr>
            <w:r>
              <w:t>113261500</w:t>
            </w:r>
            <w:r w:rsidR="000E3027">
              <w:t>4</w:t>
            </w:r>
            <w:r>
              <w:t xml:space="preserve"> and 11326150</w:t>
            </w:r>
            <w:r w:rsidR="000E3027">
              <w:t>10</w:t>
            </w:r>
          </w:p>
        </w:tc>
      </w:tr>
      <w:tr w:rsidR="002076E9" w:rsidTr="00A95AD1">
        <w:trPr>
          <w:trHeight w:val="363"/>
        </w:trPr>
        <w:tc>
          <w:tcPr>
            <w:tcW w:w="939" w:type="pct"/>
            <w:tcBorders>
              <w:top w:val="single" w:sz="4" w:space="0" w:color="auto"/>
              <w:left w:val="single" w:sz="4" w:space="0" w:color="auto"/>
              <w:bottom w:val="single" w:sz="4" w:space="0" w:color="auto"/>
              <w:right w:val="single" w:sz="4" w:space="0" w:color="auto"/>
            </w:tcBorders>
            <w:vAlign w:val="center"/>
          </w:tcPr>
          <w:p w:rsidR="002076E9" w:rsidRPr="004B1303" w:rsidRDefault="002076E9" w:rsidP="00A44ABD">
            <w:pPr>
              <w:pStyle w:val="TableText"/>
              <w:spacing w:after="0"/>
              <w:rPr>
                <w:b/>
              </w:rPr>
            </w:pPr>
            <w:r w:rsidRPr="004B1303">
              <w:rPr>
                <w:b/>
              </w:rPr>
              <w:t>Field Blank</w:t>
            </w:r>
            <w:r>
              <w:rPr>
                <w:b/>
              </w:rPr>
              <w:t>:</w:t>
            </w:r>
          </w:p>
        </w:tc>
        <w:tc>
          <w:tcPr>
            <w:tcW w:w="2103" w:type="pct"/>
            <w:tcBorders>
              <w:top w:val="single" w:sz="4" w:space="0" w:color="auto"/>
              <w:left w:val="single" w:sz="4" w:space="0" w:color="auto"/>
              <w:bottom w:val="single" w:sz="4" w:space="0" w:color="auto"/>
              <w:right w:val="single" w:sz="4" w:space="0" w:color="auto"/>
            </w:tcBorders>
            <w:vAlign w:val="center"/>
          </w:tcPr>
          <w:p w:rsidR="002076E9" w:rsidRPr="00E16B17" w:rsidRDefault="002076E9" w:rsidP="005545AF">
            <w:pPr>
              <w:pStyle w:val="TableText"/>
              <w:spacing w:after="0"/>
            </w:pPr>
            <w:r w:rsidRPr="00E16B17">
              <w:t>WQSWB</w:t>
            </w:r>
            <w:r w:rsidR="005545AF">
              <w:t>118.6</w:t>
            </w:r>
            <w:r>
              <w:t>F</w:t>
            </w:r>
            <w:r w:rsidRPr="00E16B17">
              <w:t>B</w:t>
            </w:r>
          </w:p>
        </w:tc>
        <w:tc>
          <w:tcPr>
            <w:tcW w:w="1958" w:type="pct"/>
            <w:tcBorders>
              <w:top w:val="single" w:sz="4" w:space="0" w:color="auto"/>
              <w:left w:val="single" w:sz="4" w:space="0" w:color="auto"/>
              <w:bottom w:val="single" w:sz="4" w:space="0" w:color="auto"/>
              <w:right w:val="single" w:sz="4" w:space="0" w:color="auto"/>
            </w:tcBorders>
          </w:tcPr>
          <w:p w:rsidR="002076E9" w:rsidRPr="00E16B17" w:rsidRDefault="005545AF" w:rsidP="000E3027">
            <w:pPr>
              <w:pStyle w:val="TableText"/>
              <w:spacing w:after="0"/>
            </w:pPr>
            <w:r>
              <w:t>11326150</w:t>
            </w:r>
            <w:r w:rsidR="000E3027">
              <w:t>22 and 1132615029</w:t>
            </w:r>
          </w:p>
        </w:tc>
      </w:tr>
      <w:tr w:rsidR="002076E9" w:rsidTr="00A95AD1">
        <w:trPr>
          <w:trHeight w:val="363"/>
        </w:trPr>
        <w:tc>
          <w:tcPr>
            <w:tcW w:w="939" w:type="pct"/>
            <w:tcBorders>
              <w:top w:val="single" w:sz="4" w:space="0" w:color="auto"/>
              <w:left w:val="single" w:sz="4" w:space="0" w:color="auto"/>
              <w:bottom w:val="single" w:sz="4" w:space="0" w:color="auto"/>
              <w:right w:val="single" w:sz="4" w:space="0" w:color="auto"/>
            </w:tcBorders>
            <w:vAlign w:val="center"/>
          </w:tcPr>
          <w:p w:rsidR="002076E9" w:rsidRPr="004B1303" w:rsidRDefault="002076E9" w:rsidP="00A44ABD">
            <w:pPr>
              <w:pStyle w:val="TableText"/>
              <w:spacing w:after="0"/>
              <w:rPr>
                <w:b/>
              </w:rPr>
            </w:pPr>
            <w:r w:rsidRPr="004B1303">
              <w:rPr>
                <w:b/>
              </w:rPr>
              <w:t>Trip Blank</w:t>
            </w:r>
            <w:r>
              <w:rPr>
                <w:b/>
              </w:rPr>
              <w:t>:</w:t>
            </w:r>
          </w:p>
        </w:tc>
        <w:tc>
          <w:tcPr>
            <w:tcW w:w="2103" w:type="pct"/>
            <w:tcBorders>
              <w:top w:val="single" w:sz="4" w:space="0" w:color="auto"/>
              <w:left w:val="single" w:sz="4" w:space="0" w:color="auto"/>
              <w:bottom w:val="single" w:sz="4" w:space="0" w:color="auto"/>
              <w:right w:val="single" w:sz="4" w:space="0" w:color="auto"/>
            </w:tcBorders>
            <w:vAlign w:val="center"/>
          </w:tcPr>
          <w:p w:rsidR="002076E9" w:rsidRDefault="005545AF" w:rsidP="00A44ABD">
            <w:pPr>
              <w:pStyle w:val="TableText"/>
              <w:spacing w:after="0"/>
            </w:pPr>
            <w:r>
              <w:t xml:space="preserve">LL Hg </w:t>
            </w:r>
            <w:r w:rsidR="002076E9">
              <w:t>Trip Blank</w:t>
            </w:r>
          </w:p>
        </w:tc>
        <w:tc>
          <w:tcPr>
            <w:tcW w:w="1958" w:type="pct"/>
            <w:tcBorders>
              <w:top w:val="single" w:sz="4" w:space="0" w:color="auto"/>
              <w:left w:val="single" w:sz="4" w:space="0" w:color="auto"/>
              <w:bottom w:val="single" w:sz="4" w:space="0" w:color="auto"/>
              <w:right w:val="single" w:sz="4" w:space="0" w:color="auto"/>
            </w:tcBorders>
          </w:tcPr>
          <w:p w:rsidR="002076E9" w:rsidRDefault="005545AF" w:rsidP="005545AF">
            <w:pPr>
              <w:pStyle w:val="TableText"/>
              <w:spacing w:after="0"/>
            </w:pPr>
            <w:r>
              <w:t>1132615030</w:t>
            </w:r>
          </w:p>
        </w:tc>
      </w:tr>
    </w:tbl>
    <w:p w:rsidR="00BB5A28" w:rsidRDefault="00BB5A28" w:rsidP="00BB5A28"/>
    <w:p w:rsidR="00BB5A28" w:rsidRPr="007168D2" w:rsidRDefault="00BB5A28" w:rsidP="007168D2">
      <w:pPr>
        <w:pStyle w:val="Caption"/>
      </w:pPr>
      <w:proofErr w:type="gramStart"/>
      <w:r w:rsidRPr="007168D2">
        <w:t>Table 3.1-1.</w:t>
      </w:r>
      <w:proofErr w:type="gramEnd"/>
      <w:r w:rsidRPr="007168D2">
        <w:t xml:space="preserve"> Data Qualifier</w:t>
      </w:r>
      <w:r w:rsidR="002076E9">
        <w:t xml:space="preserve">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640"/>
      </w:tblGrid>
      <w:tr w:rsidR="00BB5A28" w:rsidRPr="00F325CF" w:rsidTr="00A44ABD">
        <w:trPr>
          <w:trHeight w:val="318"/>
        </w:trPr>
        <w:tc>
          <w:tcPr>
            <w:tcW w:w="720" w:type="dxa"/>
          </w:tcPr>
          <w:p w:rsidR="00BB5A28" w:rsidRPr="00F325CF" w:rsidRDefault="00BB5A28" w:rsidP="00A44ABD">
            <w:pPr>
              <w:pStyle w:val="TableText"/>
            </w:pPr>
            <w:r>
              <w:t>J</w:t>
            </w:r>
            <w:r w:rsidRPr="00F325CF">
              <w:t xml:space="preserve"> = </w:t>
            </w:r>
          </w:p>
        </w:tc>
        <w:tc>
          <w:tcPr>
            <w:tcW w:w="8640" w:type="dxa"/>
          </w:tcPr>
          <w:p w:rsidR="00BB5A28" w:rsidRPr="00F325CF" w:rsidRDefault="00BB5A28" w:rsidP="00A44ABD">
            <w:pPr>
              <w:pStyle w:val="TableText"/>
              <w:rPr>
                <w:sz w:val="22"/>
              </w:rPr>
            </w:pPr>
            <w:r w:rsidRPr="00F325CF">
              <w:rPr>
                <w:sz w:val="22"/>
              </w:rPr>
              <w:t>The analyte was positively identified; the associated value is the approximate concentration of the analyte in the sample.</w:t>
            </w:r>
          </w:p>
        </w:tc>
      </w:tr>
      <w:tr w:rsidR="00BB5A28" w:rsidRPr="00F325CF" w:rsidTr="00A44ABD">
        <w:trPr>
          <w:trHeight w:val="318"/>
        </w:trPr>
        <w:tc>
          <w:tcPr>
            <w:tcW w:w="720" w:type="dxa"/>
          </w:tcPr>
          <w:p w:rsidR="00BB5A28" w:rsidRPr="00F325CF" w:rsidRDefault="00BB5A28" w:rsidP="00A44ABD">
            <w:pPr>
              <w:pStyle w:val="TableText"/>
            </w:pPr>
            <w:r>
              <w:t>J+</w:t>
            </w:r>
            <w:r w:rsidRPr="00F325CF">
              <w:t xml:space="preserve"> = </w:t>
            </w:r>
          </w:p>
        </w:tc>
        <w:tc>
          <w:tcPr>
            <w:tcW w:w="8640" w:type="dxa"/>
          </w:tcPr>
          <w:p w:rsidR="00BB5A28" w:rsidRPr="00F325CF" w:rsidRDefault="00BB5A28" w:rsidP="00A44ABD">
            <w:pPr>
              <w:pStyle w:val="TableText"/>
              <w:rPr>
                <w:sz w:val="22"/>
              </w:rPr>
            </w:pPr>
            <w:r w:rsidRPr="00F325CF">
              <w:rPr>
                <w:sz w:val="22"/>
              </w:rPr>
              <w:t>The analyte was positively identified; the associated value is the approximate concentration of the analyte in the sample and may be biased high.</w:t>
            </w:r>
          </w:p>
        </w:tc>
      </w:tr>
      <w:tr w:rsidR="00BB5A28" w:rsidRPr="00F325CF" w:rsidTr="00A44ABD">
        <w:trPr>
          <w:trHeight w:val="318"/>
        </w:trPr>
        <w:tc>
          <w:tcPr>
            <w:tcW w:w="720" w:type="dxa"/>
          </w:tcPr>
          <w:p w:rsidR="00BB5A28" w:rsidRPr="00F325CF" w:rsidRDefault="00BB5A28" w:rsidP="00A44ABD">
            <w:pPr>
              <w:pStyle w:val="TableText"/>
            </w:pPr>
            <w:r>
              <w:t>J-</w:t>
            </w:r>
            <w:r w:rsidRPr="00F325CF">
              <w:t xml:space="preserve"> = </w:t>
            </w:r>
          </w:p>
        </w:tc>
        <w:tc>
          <w:tcPr>
            <w:tcW w:w="8640" w:type="dxa"/>
          </w:tcPr>
          <w:p w:rsidR="00BB5A28" w:rsidRPr="00F325CF" w:rsidRDefault="00BB5A28" w:rsidP="00A44ABD">
            <w:pPr>
              <w:pStyle w:val="TableText"/>
              <w:rPr>
                <w:sz w:val="22"/>
              </w:rPr>
            </w:pPr>
            <w:r w:rsidRPr="00F325CF">
              <w:rPr>
                <w:sz w:val="22"/>
              </w:rPr>
              <w:t>The analyte was positively identified; the associated value is the approximate concentration of the analyte in the sample and may be biased low.</w:t>
            </w:r>
          </w:p>
        </w:tc>
      </w:tr>
      <w:tr w:rsidR="00BB5A28" w:rsidRPr="008D71F0" w:rsidTr="00A44ABD">
        <w:trPr>
          <w:trHeight w:val="318"/>
        </w:trPr>
        <w:tc>
          <w:tcPr>
            <w:tcW w:w="720" w:type="dxa"/>
          </w:tcPr>
          <w:p w:rsidR="00BB5A28" w:rsidRPr="00F325CF" w:rsidRDefault="00BB5A28" w:rsidP="00A44ABD">
            <w:pPr>
              <w:pStyle w:val="TableText"/>
            </w:pPr>
            <w:r>
              <w:t>NJ</w:t>
            </w:r>
            <w:r w:rsidRPr="00F325CF">
              <w:t xml:space="preserve"> = </w:t>
            </w:r>
          </w:p>
        </w:tc>
        <w:tc>
          <w:tcPr>
            <w:tcW w:w="8640" w:type="dxa"/>
          </w:tcPr>
          <w:p w:rsidR="00BB5A28" w:rsidRPr="008D71F0" w:rsidRDefault="00BB5A28" w:rsidP="00A44ABD">
            <w:pPr>
              <w:pStyle w:val="TableText"/>
              <w:rPr>
                <w:sz w:val="22"/>
              </w:rPr>
            </w:pPr>
            <w:r w:rsidRPr="008D71F0">
              <w:rPr>
                <w:sz w:val="22"/>
              </w:rPr>
              <w:t>The analysis indicates the presence of an analyte that has been “tentatively identified” and the associated value is the approximate concentration of the analyte in the sample.</w:t>
            </w:r>
          </w:p>
        </w:tc>
      </w:tr>
      <w:tr w:rsidR="00BB5A28" w:rsidRPr="006F4084" w:rsidTr="00A44ABD">
        <w:trPr>
          <w:trHeight w:val="318"/>
        </w:trPr>
        <w:tc>
          <w:tcPr>
            <w:tcW w:w="720" w:type="dxa"/>
          </w:tcPr>
          <w:p w:rsidR="00BB5A28" w:rsidRPr="00F325CF" w:rsidRDefault="00BB5A28" w:rsidP="00A44ABD">
            <w:pPr>
              <w:pStyle w:val="TableText"/>
            </w:pPr>
            <w:r>
              <w:t>R</w:t>
            </w:r>
            <w:r w:rsidRPr="00F325CF">
              <w:t xml:space="preserve"> = </w:t>
            </w:r>
          </w:p>
        </w:tc>
        <w:tc>
          <w:tcPr>
            <w:tcW w:w="8640" w:type="dxa"/>
          </w:tcPr>
          <w:p w:rsidR="00BB5A28" w:rsidRPr="006F4084" w:rsidRDefault="00BB5A28" w:rsidP="00A44ABD">
            <w:pPr>
              <w:pStyle w:val="TableText"/>
              <w:rPr>
                <w:sz w:val="22"/>
              </w:rPr>
            </w:pPr>
            <w:r w:rsidRPr="006F4084">
              <w:rPr>
                <w:sz w:val="22"/>
              </w:rPr>
              <w:t xml:space="preserve">The sample result is rejected as unusable due to serious deficiencies in one or more quality control </w:t>
            </w:r>
            <w:r>
              <w:rPr>
                <w:sz w:val="22"/>
              </w:rPr>
              <w:t xml:space="preserve">(QC) </w:t>
            </w:r>
            <w:r w:rsidRPr="006F4084">
              <w:rPr>
                <w:sz w:val="22"/>
              </w:rPr>
              <w:t>criteria.  The analyte may or may not be present in the sample.</w:t>
            </w:r>
          </w:p>
        </w:tc>
      </w:tr>
      <w:tr w:rsidR="002E55EE" w:rsidRPr="006F4084" w:rsidTr="00A44ABD">
        <w:trPr>
          <w:trHeight w:val="318"/>
        </w:trPr>
        <w:tc>
          <w:tcPr>
            <w:tcW w:w="720" w:type="dxa"/>
          </w:tcPr>
          <w:p w:rsidR="002E55EE" w:rsidRDefault="002E55EE" w:rsidP="00A44ABD">
            <w:pPr>
              <w:pStyle w:val="TableText"/>
            </w:pPr>
            <w:r w:rsidRPr="00F325CF">
              <w:rPr>
                <w:rFonts w:ascii="Times New Roman" w:hAnsi="Times New Roman"/>
              </w:rPr>
              <w:t xml:space="preserve">U = </w:t>
            </w:r>
          </w:p>
        </w:tc>
        <w:tc>
          <w:tcPr>
            <w:tcW w:w="8640" w:type="dxa"/>
          </w:tcPr>
          <w:p w:rsidR="002E55EE" w:rsidRPr="006F4084" w:rsidRDefault="002E55EE" w:rsidP="00A44ABD">
            <w:pPr>
              <w:pStyle w:val="TableText"/>
              <w:rPr>
                <w:sz w:val="22"/>
              </w:rPr>
            </w:pPr>
            <w:r w:rsidRPr="008D71F0">
              <w:rPr>
                <w:sz w:val="22"/>
              </w:rPr>
              <w:t>The analyte was analyzed for, but was not detected at or above the associated value (reporting limit [RL]).</w:t>
            </w:r>
          </w:p>
        </w:tc>
      </w:tr>
      <w:tr w:rsidR="002E55EE" w:rsidRPr="006F4084" w:rsidTr="00A44ABD">
        <w:trPr>
          <w:trHeight w:val="318"/>
        </w:trPr>
        <w:tc>
          <w:tcPr>
            <w:tcW w:w="720" w:type="dxa"/>
          </w:tcPr>
          <w:p w:rsidR="002E55EE" w:rsidRDefault="002E55EE" w:rsidP="00A44ABD">
            <w:pPr>
              <w:pStyle w:val="TableText"/>
            </w:pPr>
            <w:r w:rsidRPr="00672CF0">
              <w:rPr>
                <w:rFonts w:ascii="Times New Roman" w:hAnsi="Times New Roman"/>
              </w:rPr>
              <w:t xml:space="preserve">UJ = </w:t>
            </w:r>
          </w:p>
        </w:tc>
        <w:tc>
          <w:tcPr>
            <w:tcW w:w="8640" w:type="dxa"/>
          </w:tcPr>
          <w:p w:rsidR="002E55EE" w:rsidRPr="006F4084" w:rsidRDefault="002E55EE" w:rsidP="00A44ABD">
            <w:pPr>
              <w:pStyle w:val="TableText"/>
              <w:rPr>
                <w:sz w:val="22"/>
              </w:rPr>
            </w:pPr>
            <w:r w:rsidRPr="008D71F0">
              <w:rPr>
                <w:sz w:val="22"/>
              </w:rPr>
              <w:t>The analyte was analyzed for, but was not detected at or above the associated value (RL), which is considered approximate due to deficiencies in one or more QC criteria.</w:t>
            </w:r>
          </w:p>
        </w:tc>
      </w:tr>
    </w:tbl>
    <w:p w:rsidR="00041FFD" w:rsidRPr="007168D2" w:rsidRDefault="00041FFD" w:rsidP="00041FFD">
      <w:pPr>
        <w:pStyle w:val="Caption"/>
      </w:pPr>
      <w:proofErr w:type="gramStart"/>
      <w:r w:rsidRPr="007168D2">
        <w:t>Table 4.3-</w:t>
      </w:r>
      <w:r>
        <w:t>1</w:t>
      </w:r>
      <w:r w:rsidRPr="007168D2">
        <w:t>.</w:t>
      </w:r>
      <w:proofErr w:type="gramEnd"/>
      <w:r w:rsidRPr="007168D2">
        <w:t xml:space="preserve">  Qualifiers Associated with </w:t>
      </w:r>
      <w:r>
        <w:t>Method</w:t>
      </w:r>
      <w:r w:rsidRPr="007168D2">
        <w:t xml:space="preserve"> Blank</w:t>
      </w:r>
      <w:r>
        <w: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6210"/>
      </w:tblGrid>
      <w:tr w:rsidR="00041FFD" w:rsidTr="00D16B7C">
        <w:trPr>
          <w:tblHeader/>
        </w:trPr>
        <w:tc>
          <w:tcPr>
            <w:tcW w:w="2070" w:type="dxa"/>
            <w:tcBorders>
              <w:top w:val="single" w:sz="4" w:space="0" w:color="auto"/>
              <w:left w:val="single" w:sz="4" w:space="0" w:color="auto"/>
              <w:bottom w:val="single" w:sz="4" w:space="0" w:color="auto"/>
              <w:right w:val="single" w:sz="4" w:space="0" w:color="auto"/>
            </w:tcBorders>
            <w:hideMark/>
          </w:tcPr>
          <w:p w:rsidR="00041FFD" w:rsidRPr="00412328" w:rsidRDefault="00041FFD" w:rsidP="00D16B7C">
            <w:pPr>
              <w:pStyle w:val="TableText"/>
              <w:rPr>
                <w:b/>
              </w:rPr>
            </w:pPr>
            <w:r w:rsidRPr="00412328">
              <w:rPr>
                <w:b/>
              </w:rPr>
              <w:br w:type="page"/>
            </w:r>
            <w:r w:rsidRPr="00412328">
              <w:rPr>
                <w:b/>
              </w:rPr>
              <w:br w:type="page"/>
            </w:r>
            <w:r w:rsidRPr="00412328">
              <w:rPr>
                <w:b/>
              </w:rPr>
              <w:br w:type="page"/>
            </w:r>
            <w:r w:rsidRPr="00412328">
              <w:rPr>
                <w:b/>
              </w:rPr>
              <w:br w:type="page"/>
            </w:r>
            <w:proofErr w:type="spellStart"/>
            <w:r w:rsidRPr="00412328">
              <w:rPr>
                <w:b/>
              </w:rPr>
              <w:t>Analyte</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041FFD" w:rsidRPr="00412328" w:rsidRDefault="00041FFD" w:rsidP="00D16B7C">
            <w:pPr>
              <w:pStyle w:val="TableText"/>
              <w:rPr>
                <w:b/>
              </w:rPr>
            </w:pPr>
            <w:r w:rsidRPr="00412328">
              <w:rPr>
                <w:b/>
              </w:rPr>
              <w:t>Qualifier</w:t>
            </w:r>
          </w:p>
        </w:tc>
        <w:tc>
          <w:tcPr>
            <w:tcW w:w="6210" w:type="dxa"/>
            <w:tcBorders>
              <w:top w:val="single" w:sz="4" w:space="0" w:color="auto"/>
              <w:left w:val="single" w:sz="4" w:space="0" w:color="auto"/>
              <w:bottom w:val="single" w:sz="4" w:space="0" w:color="auto"/>
              <w:right w:val="single" w:sz="4" w:space="0" w:color="auto"/>
            </w:tcBorders>
            <w:hideMark/>
          </w:tcPr>
          <w:p w:rsidR="00041FFD" w:rsidRPr="00412328" w:rsidRDefault="00041FFD" w:rsidP="00D16B7C">
            <w:pPr>
              <w:pStyle w:val="TableText"/>
              <w:rPr>
                <w:b/>
              </w:rPr>
            </w:pPr>
            <w:r w:rsidRPr="00412328">
              <w:rPr>
                <w:b/>
              </w:rPr>
              <w:t>Affected Samples</w:t>
            </w:r>
          </w:p>
        </w:tc>
      </w:tr>
      <w:tr w:rsidR="00041FFD" w:rsidTr="00DB0A4E">
        <w:trPr>
          <w:trHeight w:val="602"/>
          <w:tblHeader/>
        </w:trPr>
        <w:tc>
          <w:tcPr>
            <w:tcW w:w="2070" w:type="dxa"/>
            <w:tcBorders>
              <w:top w:val="single" w:sz="4" w:space="0" w:color="auto"/>
              <w:left w:val="single" w:sz="4" w:space="0" w:color="auto"/>
              <w:bottom w:val="single" w:sz="4" w:space="0" w:color="auto"/>
              <w:right w:val="single" w:sz="4" w:space="0" w:color="auto"/>
            </w:tcBorders>
            <w:vAlign w:val="center"/>
            <w:hideMark/>
          </w:tcPr>
          <w:p w:rsidR="00041FFD" w:rsidRDefault="00DB0A4E" w:rsidP="00D16B7C">
            <w:pPr>
              <w:pStyle w:val="TableText"/>
            </w:pPr>
            <w:r>
              <w:t>Turbidity</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1FFD" w:rsidRPr="00C8337C" w:rsidRDefault="00041FFD" w:rsidP="00D16B7C">
            <w:pPr>
              <w:pStyle w:val="TableText"/>
            </w:pPr>
            <w:r>
              <w:t>J+</w:t>
            </w:r>
          </w:p>
        </w:tc>
        <w:tc>
          <w:tcPr>
            <w:tcW w:w="6210" w:type="dxa"/>
            <w:tcBorders>
              <w:top w:val="single" w:sz="4" w:space="0" w:color="auto"/>
              <w:left w:val="single" w:sz="4" w:space="0" w:color="auto"/>
              <w:bottom w:val="single" w:sz="4" w:space="0" w:color="auto"/>
              <w:right w:val="single" w:sz="4" w:space="0" w:color="auto"/>
            </w:tcBorders>
            <w:hideMark/>
          </w:tcPr>
          <w:p w:rsidR="00041FFD" w:rsidRPr="00F50512" w:rsidRDefault="00DB0A4E" w:rsidP="00D16B7C">
            <w:pPr>
              <w:pStyle w:val="TableText"/>
            </w:pPr>
            <w:r>
              <w:t>WQSWB118.6FB</w:t>
            </w:r>
          </w:p>
        </w:tc>
      </w:tr>
      <w:tr w:rsidR="00041FFD" w:rsidTr="00D16B7C">
        <w:trPr>
          <w:trHeight w:val="606"/>
          <w:tblHeader/>
        </w:trPr>
        <w:tc>
          <w:tcPr>
            <w:tcW w:w="2070" w:type="dxa"/>
            <w:tcBorders>
              <w:top w:val="single" w:sz="4" w:space="0" w:color="auto"/>
              <w:left w:val="single" w:sz="4" w:space="0" w:color="auto"/>
              <w:bottom w:val="single" w:sz="4" w:space="0" w:color="auto"/>
              <w:right w:val="single" w:sz="4" w:space="0" w:color="auto"/>
            </w:tcBorders>
            <w:vAlign w:val="center"/>
          </w:tcPr>
          <w:p w:rsidR="00041FFD" w:rsidRDefault="00DB0A4E" w:rsidP="00D16B7C">
            <w:pPr>
              <w:pStyle w:val="TableText"/>
            </w:pPr>
            <w:r>
              <w:t>Total Organic Carbon</w:t>
            </w:r>
          </w:p>
        </w:tc>
        <w:tc>
          <w:tcPr>
            <w:tcW w:w="1080" w:type="dxa"/>
            <w:tcBorders>
              <w:top w:val="single" w:sz="4" w:space="0" w:color="auto"/>
              <w:left w:val="single" w:sz="4" w:space="0" w:color="auto"/>
              <w:bottom w:val="single" w:sz="4" w:space="0" w:color="auto"/>
              <w:right w:val="single" w:sz="4" w:space="0" w:color="auto"/>
            </w:tcBorders>
            <w:vAlign w:val="center"/>
          </w:tcPr>
          <w:p w:rsidR="00041FFD" w:rsidRDefault="00041FFD" w:rsidP="00D16B7C">
            <w:pPr>
              <w:pStyle w:val="TableText"/>
            </w:pPr>
            <w:r>
              <w:t>U</w:t>
            </w:r>
          </w:p>
        </w:tc>
        <w:tc>
          <w:tcPr>
            <w:tcW w:w="6210" w:type="dxa"/>
            <w:tcBorders>
              <w:top w:val="single" w:sz="4" w:space="0" w:color="auto"/>
              <w:left w:val="single" w:sz="4" w:space="0" w:color="auto"/>
              <w:bottom w:val="single" w:sz="4" w:space="0" w:color="auto"/>
              <w:right w:val="single" w:sz="4" w:space="0" w:color="auto"/>
            </w:tcBorders>
          </w:tcPr>
          <w:p w:rsidR="00041FFD" w:rsidRPr="00E16B17" w:rsidRDefault="00DB0A4E" w:rsidP="00D16B7C">
            <w:pPr>
              <w:pStyle w:val="TableText"/>
            </w:pPr>
            <w:r>
              <w:t>WQSWB118.6FB</w:t>
            </w:r>
          </w:p>
        </w:tc>
      </w:tr>
      <w:tr w:rsidR="00DB0A4E" w:rsidTr="00D16B7C">
        <w:trPr>
          <w:trHeight w:val="606"/>
          <w:tblHeader/>
        </w:trPr>
        <w:tc>
          <w:tcPr>
            <w:tcW w:w="2070" w:type="dxa"/>
            <w:tcBorders>
              <w:top w:val="single" w:sz="4" w:space="0" w:color="auto"/>
              <w:left w:val="single" w:sz="4" w:space="0" w:color="auto"/>
              <w:bottom w:val="single" w:sz="4" w:space="0" w:color="auto"/>
              <w:right w:val="single" w:sz="4" w:space="0" w:color="auto"/>
            </w:tcBorders>
            <w:vAlign w:val="center"/>
          </w:tcPr>
          <w:p w:rsidR="00DB0A4E" w:rsidRDefault="00DB0A4E" w:rsidP="00D16B7C">
            <w:pPr>
              <w:pStyle w:val="TableText"/>
            </w:pPr>
            <w:r>
              <w:t>Total Phosphorus</w:t>
            </w:r>
          </w:p>
        </w:tc>
        <w:tc>
          <w:tcPr>
            <w:tcW w:w="1080" w:type="dxa"/>
            <w:tcBorders>
              <w:top w:val="single" w:sz="4" w:space="0" w:color="auto"/>
              <w:left w:val="single" w:sz="4" w:space="0" w:color="auto"/>
              <w:bottom w:val="single" w:sz="4" w:space="0" w:color="auto"/>
              <w:right w:val="single" w:sz="4" w:space="0" w:color="auto"/>
            </w:tcBorders>
            <w:vAlign w:val="center"/>
          </w:tcPr>
          <w:p w:rsidR="00DB0A4E" w:rsidRDefault="00DB0A4E" w:rsidP="00D16B7C">
            <w:pPr>
              <w:pStyle w:val="TableText"/>
            </w:pPr>
            <w:r>
              <w:t>U</w:t>
            </w:r>
          </w:p>
        </w:tc>
        <w:tc>
          <w:tcPr>
            <w:tcW w:w="6210" w:type="dxa"/>
            <w:tcBorders>
              <w:top w:val="single" w:sz="4" w:space="0" w:color="auto"/>
              <w:left w:val="single" w:sz="4" w:space="0" w:color="auto"/>
              <w:bottom w:val="single" w:sz="4" w:space="0" w:color="auto"/>
              <w:right w:val="single" w:sz="4" w:space="0" w:color="auto"/>
            </w:tcBorders>
          </w:tcPr>
          <w:p w:rsidR="00DB0A4E" w:rsidRDefault="00DB0A4E" w:rsidP="00D16B7C">
            <w:pPr>
              <w:pStyle w:val="TableText"/>
            </w:pPr>
            <w:r>
              <w:t>WQSWB118.6FB</w:t>
            </w:r>
          </w:p>
        </w:tc>
      </w:tr>
    </w:tbl>
    <w:p w:rsidR="00041FFD" w:rsidRDefault="00041FFD" w:rsidP="00041FFD"/>
    <w:p w:rsidR="00DB0A4E" w:rsidRDefault="00DB0A4E" w:rsidP="00041FFD"/>
    <w:p w:rsidR="00DB0A4E" w:rsidRDefault="00DB0A4E" w:rsidP="00041FFD"/>
    <w:p w:rsidR="00E75E94" w:rsidRPr="007168D2" w:rsidRDefault="00E75E94" w:rsidP="00E75E94">
      <w:pPr>
        <w:pStyle w:val="Caption"/>
      </w:pPr>
      <w:proofErr w:type="gramStart"/>
      <w:r w:rsidRPr="007168D2">
        <w:lastRenderedPageBreak/>
        <w:t>Table 4.3-</w:t>
      </w:r>
      <w:r w:rsidR="00DB0A4E">
        <w:t>2</w:t>
      </w:r>
      <w:r w:rsidRPr="007168D2">
        <w:t>.</w:t>
      </w:r>
      <w:proofErr w:type="gramEnd"/>
      <w:r w:rsidRPr="007168D2">
        <w:t xml:space="preserve">  Qualifiers Associated with Field Blanks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6210"/>
      </w:tblGrid>
      <w:tr w:rsidR="00E75E94" w:rsidTr="000972B9">
        <w:trPr>
          <w:tblHeader/>
        </w:trPr>
        <w:tc>
          <w:tcPr>
            <w:tcW w:w="2070" w:type="dxa"/>
            <w:tcBorders>
              <w:top w:val="single" w:sz="4" w:space="0" w:color="auto"/>
              <w:left w:val="single" w:sz="4" w:space="0" w:color="auto"/>
              <w:bottom w:val="single" w:sz="4" w:space="0" w:color="auto"/>
              <w:right w:val="single" w:sz="4" w:space="0" w:color="auto"/>
            </w:tcBorders>
            <w:hideMark/>
          </w:tcPr>
          <w:p w:rsidR="00E75E94" w:rsidRPr="00412328" w:rsidRDefault="00E75E94" w:rsidP="00A44ABD">
            <w:pPr>
              <w:pStyle w:val="TableText"/>
              <w:rPr>
                <w:b/>
              </w:rPr>
            </w:pPr>
            <w:r w:rsidRPr="00412328">
              <w:rPr>
                <w:b/>
              </w:rPr>
              <w:br w:type="page"/>
            </w:r>
            <w:r w:rsidRPr="00412328">
              <w:rPr>
                <w:b/>
              </w:rPr>
              <w:br w:type="page"/>
            </w:r>
            <w:r w:rsidRPr="00412328">
              <w:rPr>
                <w:b/>
              </w:rPr>
              <w:br w:type="page"/>
            </w:r>
            <w:r w:rsidRPr="00412328">
              <w:rPr>
                <w:b/>
              </w:rPr>
              <w:br w:type="page"/>
              <w:t>Analyte</w:t>
            </w:r>
          </w:p>
        </w:tc>
        <w:tc>
          <w:tcPr>
            <w:tcW w:w="1080" w:type="dxa"/>
            <w:tcBorders>
              <w:top w:val="single" w:sz="4" w:space="0" w:color="auto"/>
              <w:left w:val="single" w:sz="4" w:space="0" w:color="auto"/>
              <w:bottom w:val="single" w:sz="4" w:space="0" w:color="auto"/>
              <w:right w:val="single" w:sz="4" w:space="0" w:color="auto"/>
            </w:tcBorders>
            <w:hideMark/>
          </w:tcPr>
          <w:p w:rsidR="00E75E94" w:rsidRPr="00412328" w:rsidRDefault="00E75E94" w:rsidP="00A44ABD">
            <w:pPr>
              <w:pStyle w:val="TableText"/>
              <w:rPr>
                <w:b/>
              </w:rPr>
            </w:pPr>
            <w:r w:rsidRPr="00412328">
              <w:rPr>
                <w:b/>
              </w:rPr>
              <w:t>Qualifier</w:t>
            </w:r>
          </w:p>
        </w:tc>
        <w:tc>
          <w:tcPr>
            <w:tcW w:w="6210" w:type="dxa"/>
            <w:tcBorders>
              <w:top w:val="single" w:sz="4" w:space="0" w:color="auto"/>
              <w:left w:val="single" w:sz="4" w:space="0" w:color="auto"/>
              <w:bottom w:val="single" w:sz="4" w:space="0" w:color="auto"/>
              <w:right w:val="single" w:sz="4" w:space="0" w:color="auto"/>
            </w:tcBorders>
            <w:hideMark/>
          </w:tcPr>
          <w:p w:rsidR="00E75E94" w:rsidRPr="00412328" w:rsidRDefault="00E75E94" w:rsidP="00A44ABD">
            <w:pPr>
              <w:pStyle w:val="TableText"/>
              <w:rPr>
                <w:b/>
              </w:rPr>
            </w:pPr>
            <w:r w:rsidRPr="00412328">
              <w:rPr>
                <w:b/>
              </w:rPr>
              <w:t>Affected Samples</w:t>
            </w:r>
          </w:p>
        </w:tc>
      </w:tr>
      <w:tr w:rsidR="00E75E94" w:rsidTr="000972B9">
        <w:trPr>
          <w:trHeight w:val="606"/>
          <w:tblHeader/>
        </w:trPr>
        <w:tc>
          <w:tcPr>
            <w:tcW w:w="2070" w:type="dxa"/>
            <w:tcBorders>
              <w:top w:val="single" w:sz="4" w:space="0" w:color="auto"/>
              <w:left w:val="single" w:sz="4" w:space="0" w:color="auto"/>
              <w:bottom w:val="single" w:sz="4" w:space="0" w:color="auto"/>
              <w:right w:val="single" w:sz="4" w:space="0" w:color="auto"/>
            </w:tcBorders>
            <w:vAlign w:val="center"/>
          </w:tcPr>
          <w:p w:rsidR="00E75E94" w:rsidRPr="00412328" w:rsidRDefault="008F19CA" w:rsidP="00A44ABD">
            <w:pPr>
              <w:pStyle w:val="TableText"/>
            </w:pPr>
            <w:r>
              <w:t>Total Zinc</w:t>
            </w:r>
          </w:p>
        </w:tc>
        <w:tc>
          <w:tcPr>
            <w:tcW w:w="1080" w:type="dxa"/>
            <w:tcBorders>
              <w:top w:val="single" w:sz="4" w:space="0" w:color="auto"/>
              <w:left w:val="single" w:sz="4" w:space="0" w:color="auto"/>
              <w:bottom w:val="single" w:sz="4" w:space="0" w:color="auto"/>
              <w:right w:val="single" w:sz="4" w:space="0" w:color="auto"/>
            </w:tcBorders>
            <w:vAlign w:val="center"/>
          </w:tcPr>
          <w:p w:rsidR="00E75E94" w:rsidRDefault="00D85AFA" w:rsidP="00D85AFA">
            <w:pPr>
              <w:pStyle w:val="TableText"/>
            </w:pPr>
            <w:r>
              <w:t>J+</w:t>
            </w:r>
          </w:p>
        </w:tc>
        <w:tc>
          <w:tcPr>
            <w:tcW w:w="6210" w:type="dxa"/>
            <w:tcBorders>
              <w:top w:val="single" w:sz="4" w:space="0" w:color="auto"/>
              <w:left w:val="single" w:sz="4" w:space="0" w:color="auto"/>
              <w:bottom w:val="single" w:sz="4" w:space="0" w:color="auto"/>
              <w:right w:val="single" w:sz="4" w:space="0" w:color="auto"/>
            </w:tcBorders>
          </w:tcPr>
          <w:p w:rsidR="00E75E94" w:rsidRPr="00E16B17" w:rsidRDefault="008F19CA" w:rsidP="00D85AFA">
            <w:pPr>
              <w:pStyle w:val="TableText"/>
            </w:pPr>
            <w:r w:rsidRPr="001D2A4D">
              <w:t>WQSWB</w:t>
            </w:r>
            <w:r w:rsidR="00D85AFA">
              <w:t>142</w:t>
            </w:r>
            <w:r w:rsidRPr="001D2A4D">
              <w:t>.</w:t>
            </w:r>
            <w:r w:rsidR="00D85AFA">
              <w:t>3</w:t>
            </w:r>
            <w:r w:rsidRPr="001D2A4D">
              <w:t>R</w:t>
            </w:r>
            <w:r>
              <w:t>T</w:t>
            </w:r>
            <w:r w:rsidR="00D85AFA">
              <w:t>,</w:t>
            </w:r>
            <w:r>
              <w:t xml:space="preserve"> </w:t>
            </w:r>
            <w:r w:rsidR="00D85AFA" w:rsidRPr="001D2A4D">
              <w:t>WQSWB</w:t>
            </w:r>
            <w:r w:rsidR="00D85AFA">
              <w:t>142</w:t>
            </w:r>
            <w:r w:rsidR="00D85AFA" w:rsidRPr="001D2A4D">
              <w:t>.</w:t>
            </w:r>
            <w:r w:rsidR="00D85AFA">
              <w:t>3</w:t>
            </w:r>
            <w:r w:rsidR="00D85AFA" w:rsidRPr="001D2A4D">
              <w:t>R</w:t>
            </w:r>
            <w:r w:rsidR="00D85AFA">
              <w:t>B,</w:t>
            </w:r>
            <w:r w:rsidR="00D85AFA" w:rsidRPr="001D2A4D">
              <w:t xml:space="preserve"> WQSWB</w:t>
            </w:r>
            <w:r w:rsidR="00D85AFA">
              <w:t>142</w:t>
            </w:r>
            <w:r w:rsidR="00D85AFA" w:rsidRPr="001D2A4D">
              <w:t>.</w:t>
            </w:r>
            <w:r w:rsidR="00D85AFA">
              <w:t>3MT,</w:t>
            </w:r>
            <w:r w:rsidR="00D85AFA" w:rsidRPr="001D2A4D">
              <w:t xml:space="preserve"> WQSWB</w:t>
            </w:r>
            <w:r w:rsidR="00D85AFA">
              <w:t>142</w:t>
            </w:r>
            <w:r w:rsidR="00D85AFA" w:rsidRPr="001D2A4D">
              <w:t>.</w:t>
            </w:r>
            <w:r w:rsidR="00D85AFA">
              <w:t>3</w:t>
            </w:r>
            <w:r w:rsidR="00D85AFA" w:rsidRPr="001D2A4D">
              <w:t>R</w:t>
            </w:r>
            <w:r w:rsidR="00D85AFA">
              <w:t>D,</w:t>
            </w:r>
            <w:r w:rsidR="00D85AFA" w:rsidRPr="001D2A4D">
              <w:t xml:space="preserve"> WQSWB</w:t>
            </w:r>
            <w:r w:rsidR="00D85AFA">
              <w:t>142</w:t>
            </w:r>
            <w:r w:rsidR="00D85AFA" w:rsidRPr="001D2A4D">
              <w:t>.</w:t>
            </w:r>
            <w:r w:rsidR="00D85AFA">
              <w:t>3LT,</w:t>
            </w:r>
            <w:r w:rsidR="00D85AFA" w:rsidRPr="001D2A4D">
              <w:t xml:space="preserve"> </w:t>
            </w:r>
            <w:r w:rsidR="00D85AFA">
              <w:t xml:space="preserve">and </w:t>
            </w:r>
            <w:r w:rsidR="00D85AFA" w:rsidRPr="001D2A4D">
              <w:t>WQSWB</w:t>
            </w:r>
            <w:r w:rsidR="00D85AFA">
              <w:t>142</w:t>
            </w:r>
            <w:r w:rsidR="00D85AFA" w:rsidRPr="001D2A4D">
              <w:t>.</w:t>
            </w:r>
            <w:r w:rsidR="00D85AFA">
              <w:t xml:space="preserve">3LB </w:t>
            </w:r>
          </w:p>
        </w:tc>
      </w:tr>
      <w:tr w:rsidR="00E75E94" w:rsidTr="000972B9">
        <w:trPr>
          <w:trHeight w:val="606"/>
          <w:tblHeader/>
        </w:trPr>
        <w:tc>
          <w:tcPr>
            <w:tcW w:w="2070" w:type="dxa"/>
            <w:tcBorders>
              <w:top w:val="single" w:sz="4" w:space="0" w:color="auto"/>
              <w:left w:val="single" w:sz="4" w:space="0" w:color="auto"/>
              <w:bottom w:val="single" w:sz="4" w:space="0" w:color="auto"/>
              <w:right w:val="single" w:sz="4" w:space="0" w:color="auto"/>
            </w:tcBorders>
            <w:vAlign w:val="center"/>
          </w:tcPr>
          <w:p w:rsidR="00E75E94" w:rsidRPr="00FE4F33" w:rsidRDefault="00FE4F33" w:rsidP="00FE4F33">
            <w:pPr>
              <w:pStyle w:val="TableText"/>
            </w:pPr>
            <w:r w:rsidRPr="00FE4F33">
              <w:t>T</w:t>
            </w:r>
            <w:r>
              <w:t>otal Dissolved Solids</w:t>
            </w:r>
          </w:p>
        </w:tc>
        <w:tc>
          <w:tcPr>
            <w:tcW w:w="1080" w:type="dxa"/>
            <w:tcBorders>
              <w:top w:val="single" w:sz="4" w:space="0" w:color="auto"/>
              <w:left w:val="single" w:sz="4" w:space="0" w:color="auto"/>
              <w:bottom w:val="single" w:sz="4" w:space="0" w:color="auto"/>
              <w:right w:val="single" w:sz="4" w:space="0" w:color="auto"/>
            </w:tcBorders>
            <w:vAlign w:val="center"/>
          </w:tcPr>
          <w:p w:rsidR="00E75E94" w:rsidRPr="00FE4F33" w:rsidRDefault="005B277A" w:rsidP="00A44ABD">
            <w:pPr>
              <w:pStyle w:val="TableText"/>
            </w:pPr>
            <w:r w:rsidRPr="00FE4F33">
              <w:t>J+</w:t>
            </w:r>
          </w:p>
        </w:tc>
        <w:tc>
          <w:tcPr>
            <w:tcW w:w="6210" w:type="dxa"/>
            <w:tcBorders>
              <w:top w:val="single" w:sz="4" w:space="0" w:color="auto"/>
              <w:left w:val="single" w:sz="4" w:space="0" w:color="auto"/>
              <w:bottom w:val="single" w:sz="4" w:space="0" w:color="auto"/>
              <w:right w:val="single" w:sz="4" w:space="0" w:color="auto"/>
            </w:tcBorders>
          </w:tcPr>
          <w:p w:rsidR="00E75E94" w:rsidRPr="00FE4F33" w:rsidRDefault="005B277A" w:rsidP="00AF40E3">
            <w:pPr>
              <w:pStyle w:val="TableText"/>
            </w:pPr>
            <w:r w:rsidRPr="00FE4F33">
              <w:t>WQSWB</w:t>
            </w:r>
            <w:r w:rsidR="00FE4F33" w:rsidRPr="00FE4F33">
              <w:t>1</w:t>
            </w:r>
            <w:r w:rsidRPr="00FE4F33">
              <w:t>4</w:t>
            </w:r>
            <w:r w:rsidR="00FE4F33" w:rsidRPr="00FE4F33">
              <w:t>2</w:t>
            </w:r>
            <w:r w:rsidRPr="00FE4F33">
              <w:t>.</w:t>
            </w:r>
            <w:r w:rsidR="00FE4F33" w:rsidRPr="00FE4F33">
              <w:t>3R</w:t>
            </w:r>
            <w:r w:rsidRPr="00FE4F33">
              <w:t xml:space="preserve">T, </w:t>
            </w:r>
            <w:r w:rsidR="00FE4F33" w:rsidRPr="00FE4F33">
              <w:t>WQSWB1</w:t>
            </w:r>
            <w:r w:rsidR="00FE4F33">
              <w:t>18</w:t>
            </w:r>
            <w:r w:rsidR="00FE4F33" w:rsidRPr="00FE4F33">
              <w:t>.</w:t>
            </w:r>
            <w:r w:rsidR="00FE4F33">
              <w:t>6MB</w:t>
            </w:r>
            <w:r w:rsidR="00AF40E3">
              <w:t>,</w:t>
            </w:r>
            <w:r w:rsidR="00AF40E3" w:rsidRPr="00FE4F33">
              <w:t xml:space="preserve"> WQSWB1</w:t>
            </w:r>
            <w:r w:rsidR="00AF40E3">
              <w:t>18.6</w:t>
            </w:r>
            <w:r w:rsidR="00AF40E3" w:rsidRPr="00FE4F33">
              <w:t>RT,</w:t>
            </w:r>
            <w:r w:rsidR="00AF40E3">
              <w:t xml:space="preserve"> </w:t>
            </w:r>
            <w:r w:rsidR="00AF40E3" w:rsidRPr="00FE4F33">
              <w:t>WQSWB1</w:t>
            </w:r>
            <w:r w:rsidR="00AF40E3">
              <w:t>18.6</w:t>
            </w:r>
            <w:r w:rsidR="00AF40E3" w:rsidRPr="00FE4F33">
              <w:t>R</w:t>
            </w:r>
            <w:r w:rsidR="00AF40E3">
              <w:t>B</w:t>
            </w:r>
            <w:r w:rsidR="00AF40E3" w:rsidRPr="00FE4F33">
              <w:t>,</w:t>
            </w:r>
          </w:p>
        </w:tc>
      </w:tr>
      <w:tr w:rsidR="00E75E94" w:rsidTr="000972B9">
        <w:trPr>
          <w:trHeight w:val="606"/>
          <w:tblHeader/>
        </w:trPr>
        <w:tc>
          <w:tcPr>
            <w:tcW w:w="2070" w:type="dxa"/>
            <w:tcBorders>
              <w:top w:val="single" w:sz="4" w:space="0" w:color="auto"/>
              <w:left w:val="single" w:sz="4" w:space="0" w:color="auto"/>
              <w:bottom w:val="single" w:sz="4" w:space="0" w:color="auto"/>
              <w:right w:val="single" w:sz="4" w:space="0" w:color="auto"/>
            </w:tcBorders>
            <w:vAlign w:val="center"/>
          </w:tcPr>
          <w:p w:rsidR="00E75E94" w:rsidRPr="00FE4F33" w:rsidRDefault="00FE4F33" w:rsidP="00FE4F33">
            <w:pPr>
              <w:pStyle w:val="TableText"/>
            </w:pPr>
            <w:r w:rsidRPr="00FE4F33">
              <w:t>Total Nitrate/Nitrite</w:t>
            </w:r>
          </w:p>
        </w:tc>
        <w:tc>
          <w:tcPr>
            <w:tcW w:w="1080" w:type="dxa"/>
            <w:tcBorders>
              <w:top w:val="single" w:sz="4" w:space="0" w:color="auto"/>
              <w:left w:val="single" w:sz="4" w:space="0" w:color="auto"/>
              <w:bottom w:val="single" w:sz="4" w:space="0" w:color="auto"/>
              <w:right w:val="single" w:sz="4" w:space="0" w:color="auto"/>
            </w:tcBorders>
            <w:vAlign w:val="center"/>
          </w:tcPr>
          <w:p w:rsidR="00E75E94" w:rsidRPr="00FE4F33" w:rsidRDefault="00FE4F33" w:rsidP="00A44ABD">
            <w:pPr>
              <w:pStyle w:val="TableText"/>
            </w:pPr>
            <w:r w:rsidRPr="00FE4F33">
              <w:t>U</w:t>
            </w:r>
          </w:p>
        </w:tc>
        <w:tc>
          <w:tcPr>
            <w:tcW w:w="6210" w:type="dxa"/>
            <w:tcBorders>
              <w:top w:val="single" w:sz="4" w:space="0" w:color="auto"/>
              <w:left w:val="single" w:sz="4" w:space="0" w:color="auto"/>
              <w:bottom w:val="single" w:sz="4" w:space="0" w:color="auto"/>
              <w:right w:val="single" w:sz="4" w:space="0" w:color="auto"/>
            </w:tcBorders>
          </w:tcPr>
          <w:p w:rsidR="00E75E94" w:rsidRPr="00FE4F33" w:rsidRDefault="00FE4F33" w:rsidP="00FE4F33">
            <w:pPr>
              <w:pStyle w:val="TableText"/>
            </w:pPr>
            <w:r w:rsidRPr="00FE4F33">
              <w:t xml:space="preserve">WQSWB142.3RT </w:t>
            </w:r>
          </w:p>
        </w:tc>
      </w:tr>
      <w:tr w:rsidR="000D058D" w:rsidTr="000972B9">
        <w:trPr>
          <w:trHeight w:val="606"/>
          <w:tblHeader/>
        </w:trPr>
        <w:tc>
          <w:tcPr>
            <w:tcW w:w="2070" w:type="dxa"/>
            <w:tcBorders>
              <w:top w:val="single" w:sz="4" w:space="0" w:color="auto"/>
              <w:left w:val="single" w:sz="4" w:space="0" w:color="auto"/>
              <w:bottom w:val="single" w:sz="4" w:space="0" w:color="auto"/>
              <w:right w:val="single" w:sz="4" w:space="0" w:color="auto"/>
            </w:tcBorders>
            <w:vAlign w:val="center"/>
          </w:tcPr>
          <w:p w:rsidR="000D058D" w:rsidRPr="00FE4F33" w:rsidRDefault="000D058D" w:rsidP="000D058D">
            <w:pPr>
              <w:pStyle w:val="TableText"/>
            </w:pPr>
            <w:r>
              <w:t>Dissolved Arsenic</w:t>
            </w:r>
          </w:p>
        </w:tc>
        <w:tc>
          <w:tcPr>
            <w:tcW w:w="1080" w:type="dxa"/>
            <w:tcBorders>
              <w:top w:val="single" w:sz="4" w:space="0" w:color="auto"/>
              <w:left w:val="single" w:sz="4" w:space="0" w:color="auto"/>
              <w:bottom w:val="single" w:sz="4" w:space="0" w:color="auto"/>
              <w:right w:val="single" w:sz="4" w:space="0" w:color="auto"/>
            </w:tcBorders>
            <w:vAlign w:val="center"/>
          </w:tcPr>
          <w:p w:rsidR="000D058D" w:rsidRPr="00FE4F33" w:rsidRDefault="000D058D" w:rsidP="00A44ABD">
            <w:pPr>
              <w:pStyle w:val="TableText"/>
            </w:pPr>
            <w:r>
              <w:t>J+</w:t>
            </w:r>
          </w:p>
        </w:tc>
        <w:tc>
          <w:tcPr>
            <w:tcW w:w="6210" w:type="dxa"/>
            <w:tcBorders>
              <w:top w:val="single" w:sz="4" w:space="0" w:color="auto"/>
              <w:left w:val="single" w:sz="4" w:space="0" w:color="auto"/>
              <w:bottom w:val="single" w:sz="4" w:space="0" w:color="auto"/>
              <w:right w:val="single" w:sz="4" w:space="0" w:color="auto"/>
            </w:tcBorders>
          </w:tcPr>
          <w:p w:rsidR="000D058D" w:rsidRPr="00FE4F33" w:rsidRDefault="000D058D" w:rsidP="00A53142">
            <w:pPr>
              <w:pStyle w:val="TableText"/>
            </w:pPr>
            <w:r w:rsidRPr="00FE4F33">
              <w:t>WQSWB142.3RT</w:t>
            </w:r>
            <w:r>
              <w:t>,</w:t>
            </w:r>
            <w:r w:rsidRPr="001D2A4D">
              <w:t xml:space="preserve"> WQSWB</w:t>
            </w:r>
            <w:r>
              <w:t>142</w:t>
            </w:r>
            <w:r w:rsidRPr="001D2A4D">
              <w:t>.</w:t>
            </w:r>
            <w:r>
              <w:t>3</w:t>
            </w:r>
            <w:r w:rsidRPr="001D2A4D">
              <w:t>R</w:t>
            </w:r>
            <w:r>
              <w:t>B,</w:t>
            </w:r>
            <w:r w:rsidRPr="001D2A4D">
              <w:t xml:space="preserve"> WQSWB</w:t>
            </w:r>
            <w:r>
              <w:t>142</w:t>
            </w:r>
            <w:r w:rsidRPr="001D2A4D">
              <w:t>.</w:t>
            </w:r>
            <w:r>
              <w:t>3MT,</w:t>
            </w:r>
            <w:r w:rsidRPr="001D2A4D">
              <w:t xml:space="preserve"> WQSWB</w:t>
            </w:r>
            <w:r>
              <w:t>142</w:t>
            </w:r>
            <w:r w:rsidRPr="001D2A4D">
              <w:t>.</w:t>
            </w:r>
            <w:r>
              <w:t>3</w:t>
            </w:r>
            <w:r w:rsidRPr="001D2A4D">
              <w:t>R</w:t>
            </w:r>
            <w:r>
              <w:t>D,</w:t>
            </w:r>
            <w:r w:rsidRPr="001D2A4D">
              <w:t xml:space="preserve"> WQSWB</w:t>
            </w:r>
            <w:r>
              <w:t>142</w:t>
            </w:r>
            <w:r w:rsidRPr="001D2A4D">
              <w:t>.</w:t>
            </w:r>
            <w:r>
              <w:t>3LT,</w:t>
            </w:r>
            <w:r w:rsidRPr="001D2A4D">
              <w:t xml:space="preserve"> </w:t>
            </w:r>
            <w:r>
              <w:t xml:space="preserve">and </w:t>
            </w:r>
            <w:r w:rsidRPr="001D2A4D">
              <w:t>WQSWB</w:t>
            </w:r>
            <w:r>
              <w:t>142</w:t>
            </w:r>
            <w:r w:rsidRPr="001D2A4D">
              <w:t>.</w:t>
            </w:r>
            <w:r>
              <w:t>3LB,</w:t>
            </w:r>
            <w:r w:rsidRPr="001D2A4D">
              <w:t xml:space="preserve"> WQSWB</w:t>
            </w:r>
            <w:r>
              <w:t>118</w:t>
            </w:r>
            <w:r w:rsidRPr="001D2A4D">
              <w:t>.</w:t>
            </w:r>
            <w:r>
              <w:t>6LT,</w:t>
            </w:r>
            <w:r w:rsidRPr="001D2A4D">
              <w:t xml:space="preserve"> WQSWB</w:t>
            </w:r>
            <w:r>
              <w:t>118</w:t>
            </w:r>
            <w:r w:rsidRPr="001D2A4D">
              <w:t>.</w:t>
            </w:r>
            <w:r>
              <w:t>6LB,</w:t>
            </w:r>
            <w:r w:rsidRPr="001D2A4D">
              <w:t xml:space="preserve"> </w:t>
            </w:r>
            <w:r>
              <w:t xml:space="preserve"> </w:t>
            </w:r>
            <w:r w:rsidRPr="001D2A4D">
              <w:t>WQSWB</w:t>
            </w:r>
            <w:r>
              <w:t>118</w:t>
            </w:r>
            <w:r w:rsidRPr="001D2A4D">
              <w:t>.</w:t>
            </w:r>
            <w:r>
              <w:t xml:space="preserve">6MT, </w:t>
            </w:r>
            <w:r w:rsidRPr="00FE4F33">
              <w:t>WQSWB1</w:t>
            </w:r>
            <w:r>
              <w:t>18</w:t>
            </w:r>
            <w:r w:rsidRPr="00FE4F33">
              <w:t>.</w:t>
            </w:r>
            <w:r>
              <w:t>6MB,</w:t>
            </w:r>
            <w:r w:rsidR="00CC0A02" w:rsidRPr="00FE4F33">
              <w:t xml:space="preserve"> WQSWB1</w:t>
            </w:r>
            <w:r w:rsidR="00CC0A02">
              <w:t>18</w:t>
            </w:r>
            <w:r w:rsidR="00CC0A02" w:rsidRPr="00FE4F33">
              <w:t>.</w:t>
            </w:r>
            <w:r w:rsidR="00CC0A02">
              <w:t>6RT,</w:t>
            </w:r>
            <w:r w:rsidR="00CC0A02" w:rsidRPr="00FE4F33">
              <w:t xml:space="preserve"> </w:t>
            </w:r>
            <w:r w:rsidR="00CC0A02">
              <w:t xml:space="preserve">and </w:t>
            </w:r>
            <w:r w:rsidR="00CC0A02" w:rsidRPr="00FE4F33">
              <w:t>WQSWB1</w:t>
            </w:r>
            <w:r w:rsidR="00CC0A02">
              <w:t>18</w:t>
            </w:r>
            <w:r w:rsidR="00CC0A02" w:rsidRPr="00FE4F33">
              <w:t>.</w:t>
            </w:r>
            <w:r w:rsidR="00CC0A02">
              <w:t>6RB</w:t>
            </w:r>
          </w:p>
        </w:tc>
      </w:tr>
      <w:tr w:rsidR="000D058D" w:rsidTr="000972B9">
        <w:trPr>
          <w:trHeight w:val="606"/>
          <w:tblHeader/>
        </w:trPr>
        <w:tc>
          <w:tcPr>
            <w:tcW w:w="2070" w:type="dxa"/>
            <w:tcBorders>
              <w:top w:val="single" w:sz="4" w:space="0" w:color="auto"/>
              <w:left w:val="single" w:sz="4" w:space="0" w:color="auto"/>
              <w:bottom w:val="single" w:sz="4" w:space="0" w:color="auto"/>
              <w:right w:val="single" w:sz="4" w:space="0" w:color="auto"/>
            </w:tcBorders>
            <w:vAlign w:val="center"/>
          </w:tcPr>
          <w:p w:rsidR="000D058D" w:rsidRDefault="000D058D" w:rsidP="000D058D">
            <w:pPr>
              <w:pStyle w:val="TableText"/>
            </w:pPr>
            <w:r>
              <w:t>Dissolved Iron</w:t>
            </w:r>
          </w:p>
        </w:tc>
        <w:tc>
          <w:tcPr>
            <w:tcW w:w="1080" w:type="dxa"/>
            <w:tcBorders>
              <w:top w:val="single" w:sz="4" w:space="0" w:color="auto"/>
              <w:left w:val="single" w:sz="4" w:space="0" w:color="auto"/>
              <w:bottom w:val="single" w:sz="4" w:space="0" w:color="auto"/>
              <w:right w:val="single" w:sz="4" w:space="0" w:color="auto"/>
            </w:tcBorders>
            <w:vAlign w:val="center"/>
          </w:tcPr>
          <w:p w:rsidR="000D058D" w:rsidRPr="00FE4F33" w:rsidRDefault="000D058D" w:rsidP="00A44ABD">
            <w:pPr>
              <w:pStyle w:val="TableText"/>
            </w:pPr>
            <w:r>
              <w:t>J+</w:t>
            </w:r>
          </w:p>
        </w:tc>
        <w:tc>
          <w:tcPr>
            <w:tcW w:w="6210" w:type="dxa"/>
            <w:tcBorders>
              <w:top w:val="single" w:sz="4" w:space="0" w:color="auto"/>
              <w:left w:val="single" w:sz="4" w:space="0" w:color="auto"/>
              <w:bottom w:val="single" w:sz="4" w:space="0" w:color="auto"/>
              <w:right w:val="single" w:sz="4" w:space="0" w:color="auto"/>
            </w:tcBorders>
          </w:tcPr>
          <w:p w:rsidR="000D058D" w:rsidRPr="00FE4F33" w:rsidRDefault="000D058D" w:rsidP="00A53142">
            <w:pPr>
              <w:pStyle w:val="TableText"/>
            </w:pPr>
            <w:r w:rsidRPr="00FE4F33">
              <w:t>WQSWB142.3RT</w:t>
            </w:r>
            <w:r>
              <w:t>,</w:t>
            </w:r>
            <w:r w:rsidRPr="001D2A4D">
              <w:t xml:space="preserve"> WQSWB</w:t>
            </w:r>
            <w:r>
              <w:t>142</w:t>
            </w:r>
            <w:r w:rsidRPr="001D2A4D">
              <w:t>.</w:t>
            </w:r>
            <w:r>
              <w:t>3</w:t>
            </w:r>
            <w:r w:rsidRPr="001D2A4D">
              <w:t>R</w:t>
            </w:r>
            <w:r>
              <w:t>B,</w:t>
            </w:r>
            <w:r w:rsidRPr="001D2A4D">
              <w:t xml:space="preserve"> WQSWB</w:t>
            </w:r>
            <w:r>
              <w:t>142</w:t>
            </w:r>
            <w:r w:rsidRPr="001D2A4D">
              <w:t>.</w:t>
            </w:r>
            <w:r>
              <w:t>3MT,</w:t>
            </w:r>
            <w:r w:rsidRPr="001D2A4D">
              <w:t xml:space="preserve"> WQSWB</w:t>
            </w:r>
            <w:r>
              <w:t>142</w:t>
            </w:r>
            <w:r w:rsidRPr="001D2A4D">
              <w:t>.</w:t>
            </w:r>
            <w:r>
              <w:t>3</w:t>
            </w:r>
            <w:r w:rsidRPr="001D2A4D">
              <w:t>R</w:t>
            </w:r>
            <w:r>
              <w:t>D,</w:t>
            </w:r>
            <w:r w:rsidRPr="001D2A4D">
              <w:t xml:space="preserve"> WQSWB</w:t>
            </w:r>
            <w:r>
              <w:t>142</w:t>
            </w:r>
            <w:r w:rsidRPr="001D2A4D">
              <w:t>.</w:t>
            </w:r>
            <w:r>
              <w:t>3LT,</w:t>
            </w:r>
            <w:r w:rsidRPr="001D2A4D">
              <w:t xml:space="preserve"> </w:t>
            </w:r>
            <w:r>
              <w:t xml:space="preserve">and </w:t>
            </w:r>
            <w:r w:rsidRPr="001D2A4D">
              <w:t>WQSWB</w:t>
            </w:r>
            <w:r>
              <w:t>142</w:t>
            </w:r>
            <w:r w:rsidRPr="001D2A4D">
              <w:t>.</w:t>
            </w:r>
            <w:r>
              <w:t xml:space="preserve">3LB, </w:t>
            </w:r>
            <w:r w:rsidRPr="001D2A4D">
              <w:t>WQSWB</w:t>
            </w:r>
            <w:r>
              <w:t>118</w:t>
            </w:r>
            <w:r w:rsidRPr="001D2A4D">
              <w:t>.</w:t>
            </w:r>
            <w:r>
              <w:t>6LT,</w:t>
            </w:r>
            <w:r w:rsidRPr="001D2A4D">
              <w:t xml:space="preserve"> WQSWB</w:t>
            </w:r>
            <w:r>
              <w:t>118</w:t>
            </w:r>
            <w:r w:rsidRPr="001D2A4D">
              <w:t>.</w:t>
            </w:r>
            <w:r>
              <w:t>6LB,</w:t>
            </w:r>
            <w:r w:rsidRPr="001D2A4D">
              <w:t xml:space="preserve"> WQSWB</w:t>
            </w:r>
            <w:r>
              <w:t>118</w:t>
            </w:r>
            <w:r w:rsidRPr="001D2A4D">
              <w:t>.</w:t>
            </w:r>
            <w:r>
              <w:t xml:space="preserve">6MT, </w:t>
            </w:r>
            <w:r w:rsidRPr="00FE4F33">
              <w:t>WQSWB1</w:t>
            </w:r>
            <w:r>
              <w:t>18</w:t>
            </w:r>
            <w:r w:rsidRPr="00FE4F33">
              <w:t>.</w:t>
            </w:r>
            <w:r>
              <w:t>6MB,</w:t>
            </w:r>
            <w:r w:rsidR="00CC0A02" w:rsidRPr="00FE4F33">
              <w:t xml:space="preserve"> WQSWB1</w:t>
            </w:r>
            <w:r w:rsidR="00CC0A02">
              <w:t>18</w:t>
            </w:r>
            <w:r w:rsidR="00CC0A02" w:rsidRPr="00FE4F33">
              <w:t>.</w:t>
            </w:r>
            <w:r w:rsidR="00CC0A02">
              <w:t>6RT,</w:t>
            </w:r>
            <w:r w:rsidR="00CC0A02" w:rsidRPr="00FE4F33">
              <w:t xml:space="preserve"> </w:t>
            </w:r>
            <w:r w:rsidR="00CC0A02">
              <w:t xml:space="preserve">and </w:t>
            </w:r>
            <w:r w:rsidR="00CC0A02" w:rsidRPr="00FE4F33">
              <w:t>WQSWB1</w:t>
            </w:r>
            <w:r w:rsidR="00CC0A02">
              <w:t>18</w:t>
            </w:r>
            <w:r w:rsidR="00CC0A02" w:rsidRPr="00FE4F33">
              <w:t>.</w:t>
            </w:r>
            <w:r w:rsidR="00CC0A02">
              <w:t>6RB</w:t>
            </w:r>
          </w:p>
        </w:tc>
      </w:tr>
    </w:tbl>
    <w:p w:rsidR="00A67AFB" w:rsidRDefault="00A67AFB" w:rsidP="00CF1C2C">
      <w:pPr>
        <w:pStyle w:val="Caption"/>
      </w:pPr>
    </w:p>
    <w:p w:rsidR="00CF1C2C" w:rsidRPr="007168D2" w:rsidRDefault="00CF1C2C" w:rsidP="00CF1C2C">
      <w:pPr>
        <w:pStyle w:val="Caption"/>
      </w:pPr>
      <w:proofErr w:type="gramStart"/>
      <w:r w:rsidRPr="007168D2">
        <w:t>Table 4.</w:t>
      </w:r>
      <w:r>
        <w:t>4</w:t>
      </w:r>
      <w:r w:rsidRPr="007168D2">
        <w:t>-</w:t>
      </w:r>
      <w:r>
        <w:t>1</w:t>
      </w:r>
      <w:r w:rsidRPr="007168D2">
        <w:t>.</w:t>
      </w:r>
      <w:proofErr w:type="gramEnd"/>
      <w:r w:rsidRPr="007168D2">
        <w:t xml:space="preserve">  Qualifiers Associated with </w:t>
      </w:r>
      <w:r>
        <w:t>MS/MSD</w:t>
      </w:r>
      <w:r w:rsidR="00CB34BB">
        <w:t xml:space="preserve"> Results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
        <w:gridCol w:w="6120"/>
      </w:tblGrid>
      <w:tr w:rsidR="00CF1C2C" w:rsidTr="000D6CF2">
        <w:trPr>
          <w:tblHeader/>
        </w:trPr>
        <w:tc>
          <w:tcPr>
            <w:tcW w:w="2340" w:type="dxa"/>
            <w:tcBorders>
              <w:top w:val="single" w:sz="4" w:space="0" w:color="auto"/>
              <w:left w:val="single" w:sz="4" w:space="0" w:color="auto"/>
              <w:bottom w:val="single" w:sz="4" w:space="0" w:color="auto"/>
              <w:right w:val="single" w:sz="4" w:space="0" w:color="auto"/>
            </w:tcBorders>
            <w:hideMark/>
          </w:tcPr>
          <w:p w:rsidR="00CF1C2C" w:rsidRPr="00412328" w:rsidRDefault="00CF1C2C" w:rsidP="002C2F91">
            <w:pPr>
              <w:pStyle w:val="TableText"/>
              <w:rPr>
                <w:b/>
              </w:rPr>
            </w:pPr>
            <w:r w:rsidRPr="00412328">
              <w:rPr>
                <w:b/>
              </w:rPr>
              <w:br w:type="page"/>
            </w:r>
            <w:r w:rsidRPr="00412328">
              <w:rPr>
                <w:b/>
              </w:rPr>
              <w:br w:type="page"/>
            </w:r>
            <w:r w:rsidRPr="00412328">
              <w:rPr>
                <w:b/>
              </w:rPr>
              <w:br w:type="page"/>
            </w:r>
            <w:r w:rsidRPr="00412328">
              <w:rPr>
                <w:b/>
              </w:rPr>
              <w:br w:type="page"/>
              <w:t>Analyte</w:t>
            </w:r>
          </w:p>
        </w:tc>
        <w:tc>
          <w:tcPr>
            <w:tcW w:w="900" w:type="dxa"/>
            <w:tcBorders>
              <w:top w:val="single" w:sz="4" w:space="0" w:color="auto"/>
              <w:left w:val="single" w:sz="4" w:space="0" w:color="auto"/>
              <w:bottom w:val="single" w:sz="4" w:space="0" w:color="auto"/>
              <w:right w:val="single" w:sz="4" w:space="0" w:color="auto"/>
            </w:tcBorders>
            <w:hideMark/>
          </w:tcPr>
          <w:p w:rsidR="00CF1C2C" w:rsidRPr="00412328" w:rsidRDefault="00CF1C2C" w:rsidP="002C2F91">
            <w:pPr>
              <w:pStyle w:val="TableText"/>
              <w:rPr>
                <w:b/>
              </w:rPr>
            </w:pPr>
            <w:r w:rsidRPr="00412328">
              <w:rPr>
                <w:b/>
              </w:rPr>
              <w:t>Qualifier</w:t>
            </w:r>
          </w:p>
        </w:tc>
        <w:tc>
          <w:tcPr>
            <w:tcW w:w="6120" w:type="dxa"/>
            <w:tcBorders>
              <w:top w:val="single" w:sz="4" w:space="0" w:color="auto"/>
              <w:left w:val="single" w:sz="4" w:space="0" w:color="auto"/>
              <w:bottom w:val="single" w:sz="4" w:space="0" w:color="auto"/>
              <w:right w:val="single" w:sz="4" w:space="0" w:color="auto"/>
            </w:tcBorders>
            <w:hideMark/>
          </w:tcPr>
          <w:p w:rsidR="00CF1C2C" w:rsidRPr="00412328" w:rsidRDefault="00CF1C2C" w:rsidP="002C2F91">
            <w:pPr>
              <w:pStyle w:val="TableText"/>
              <w:rPr>
                <w:b/>
              </w:rPr>
            </w:pPr>
            <w:r w:rsidRPr="00412328">
              <w:rPr>
                <w:b/>
              </w:rPr>
              <w:t>Affected Samples</w:t>
            </w:r>
          </w:p>
        </w:tc>
      </w:tr>
      <w:tr w:rsidR="00CF1C2C" w:rsidTr="000D6CF2">
        <w:trPr>
          <w:trHeight w:val="606"/>
          <w:tblHeader/>
        </w:trPr>
        <w:tc>
          <w:tcPr>
            <w:tcW w:w="2340" w:type="dxa"/>
            <w:tcBorders>
              <w:top w:val="single" w:sz="4" w:space="0" w:color="auto"/>
              <w:left w:val="single" w:sz="4" w:space="0" w:color="auto"/>
              <w:bottom w:val="single" w:sz="4" w:space="0" w:color="auto"/>
              <w:right w:val="single" w:sz="4" w:space="0" w:color="auto"/>
            </w:tcBorders>
            <w:vAlign w:val="center"/>
          </w:tcPr>
          <w:p w:rsidR="00CF1C2C" w:rsidRPr="00412328" w:rsidRDefault="00CF1C2C" w:rsidP="008F41BD">
            <w:pPr>
              <w:pStyle w:val="TableText"/>
            </w:pPr>
            <w:r>
              <w:t>Total Arsenic</w:t>
            </w:r>
            <w:r w:rsidR="000D6CF2">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F1C2C" w:rsidRDefault="00CB34BB" w:rsidP="002C2F91">
            <w:pPr>
              <w:pStyle w:val="TableText"/>
            </w:pPr>
            <w:r>
              <w:t>J-</w:t>
            </w:r>
          </w:p>
        </w:tc>
        <w:tc>
          <w:tcPr>
            <w:tcW w:w="6120" w:type="dxa"/>
            <w:tcBorders>
              <w:top w:val="single" w:sz="4" w:space="0" w:color="auto"/>
              <w:left w:val="single" w:sz="4" w:space="0" w:color="auto"/>
              <w:bottom w:val="single" w:sz="4" w:space="0" w:color="auto"/>
              <w:right w:val="single" w:sz="4" w:space="0" w:color="auto"/>
            </w:tcBorders>
          </w:tcPr>
          <w:p w:rsidR="00CF1C2C" w:rsidRPr="00E16B17" w:rsidRDefault="00CB34BB" w:rsidP="002C2F91">
            <w:pPr>
              <w:pStyle w:val="TableText"/>
            </w:pPr>
            <w:r w:rsidRPr="00FE4F33">
              <w:t>WQSWB142.3RT</w:t>
            </w:r>
            <w:r>
              <w:t>,</w:t>
            </w:r>
            <w:r w:rsidRPr="001D2A4D">
              <w:t xml:space="preserve"> WQSWB</w:t>
            </w:r>
            <w:r>
              <w:t>142</w:t>
            </w:r>
            <w:r w:rsidRPr="001D2A4D">
              <w:t>.</w:t>
            </w:r>
            <w:r>
              <w:t>3</w:t>
            </w:r>
            <w:r w:rsidRPr="001D2A4D">
              <w:t>R</w:t>
            </w:r>
            <w:r>
              <w:t>B,</w:t>
            </w:r>
            <w:r w:rsidRPr="001D2A4D">
              <w:t xml:space="preserve"> WQSWB</w:t>
            </w:r>
            <w:r>
              <w:t>142</w:t>
            </w:r>
            <w:r w:rsidRPr="001D2A4D">
              <w:t>.</w:t>
            </w:r>
            <w:r>
              <w:t>3MT,</w:t>
            </w:r>
            <w:r w:rsidRPr="001D2A4D">
              <w:t xml:space="preserve"> WQSWB</w:t>
            </w:r>
            <w:r>
              <w:t>142</w:t>
            </w:r>
            <w:r w:rsidRPr="001D2A4D">
              <w:t>.</w:t>
            </w:r>
            <w:r>
              <w:t>3</w:t>
            </w:r>
            <w:r w:rsidRPr="001D2A4D">
              <w:t>R</w:t>
            </w:r>
            <w:r>
              <w:t>D,</w:t>
            </w:r>
            <w:r w:rsidRPr="001D2A4D">
              <w:t xml:space="preserve"> WQSWB</w:t>
            </w:r>
            <w:r>
              <w:t>142</w:t>
            </w:r>
            <w:r w:rsidRPr="001D2A4D">
              <w:t>.</w:t>
            </w:r>
            <w:r>
              <w:t>3LT,</w:t>
            </w:r>
            <w:r w:rsidRPr="001D2A4D">
              <w:t xml:space="preserve"> </w:t>
            </w:r>
            <w:r>
              <w:t xml:space="preserve">and </w:t>
            </w:r>
            <w:r w:rsidRPr="001D2A4D">
              <w:t>WQSWB</w:t>
            </w:r>
            <w:r>
              <w:t>142</w:t>
            </w:r>
            <w:r w:rsidRPr="001D2A4D">
              <w:t>.</w:t>
            </w:r>
            <w:r>
              <w:t>3LB,</w:t>
            </w:r>
            <w:r w:rsidRPr="001D2A4D">
              <w:t xml:space="preserve"> WQSWB</w:t>
            </w:r>
            <w:r>
              <w:t>118</w:t>
            </w:r>
            <w:r w:rsidRPr="001D2A4D">
              <w:t>.</w:t>
            </w:r>
            <w:r>
              <w:t>6LT,</w:t>
            </w:r>
            <w:r w:rsidRPr="001D2A4D">
              <w:t xml:space="preserve"> WQSWB</w:t>
            </w:r>
            <w:r>
              <w:t>118</w:t>
            </w:r>
            <w:r w:rsidRPr="001D2A4D">
              <w:t>.</w:t>
            </w:r>
            <w:r>
              <w:t>6LB,</w:t>
            </w:r>
            <w:r w:rsidRPr="001D2A4D">
              <w:t xml:space="preserve"> </w:t>
            </w:r>
            <w:r>
              <w:t xml:space="preserve"> </w:t>
            </w:r>
            <w:r w:rsidRPr="001D2A4D">
              <w:t>WQSWB</w:t>
            </w:r>
            <w:r>
              <w:t>118</w:t>
            </w:r>
            <w:r w:rsidRPr="001D2A4D">
              <w:t>.</w:t>
            </w:r>
            <w:r>
              <w:t xml:space="preserve">6MT, </w:t>
            </w:r>
            <w:r w:rsidRPr="00FE4F33">
              <w:t>WQSWB1</w:t>
            </w:r>
            <w:r>
              <w:t>18</w:t>
            </w:r>
            <w:r w:rsidRPr="00FE4F33">
              <w:t>.</w:t>
            </w:r>
            <w:r>
              <w:t>6MB,</w:t>
            </w:r>
            <w:r w:rsidRPr="00FE4F33">
              <w:t xml:space="preserve"> WQSWB1</w:t>
            </w:r>
            <w:r>
              <w:t>18</w:t>
            </w:r>
            <w:r w:rsidRPr="00FE4F33">
              <w:t>.</w:t>
            </w:r>
            <w:r>
              <w:t>6RT,</w:t>
            </w:r>
            <w:r w:rsidRPr="00FE4F33">
              <w:t xml:space="preserve"> </w:t>
            </w:r>
            <w:r>
              <w:t xml:space="preserve">and </w:t>
            </w:r>
            <w:r w:rsidRPr="00FE4F33">
              <w:t>WQSWB1</w:t>
            </w:r>
            <w:r>
              <w:t>18</w:t>
            </w:r>
            <w:r w:rsidRPr="00FE4F33">
              <w:t>.</w:t>
            </w:r>
            <w:r>
              <w:t>6RB</w:t>
            </w:r>
          </w:p>
        </w:tc>
      </w:tr>
      <w:tr w:rsidR="005A56FC" w:rsidTr="000D6CF2">
        <w:trPr>
          <w:trHeight w:val="606"/>
          <w:tblHeader/>
        </w:trPr>
        <w:tc>
          <w:tcPr>
            <w:tcW w:w="2340" w:type="dxa"/>
            <w:tcBorders>
              <w:top w:val="single" w:sz="4" w:space="0" w:color="auto"/>
              <w:left w:val="single" w:sz="4" w:space="0" w:color="auto"/>
              <w:bottom w:val="single" w:sz="4" w:space="0" w:color="auto"/>
              <w:right w:val="single" w:sz="4" w:space="0" w:color="auto"/>
            </w:tcBorders>
            <w:vAlign w:val="center"/>
          </w:tcPr>
          <w:p w:rsidR="005A56FC" w:rsidRDefault="005A56FC" w:rsidP="004A6845">
            <w:pPr>
              <w:pStyle w:val="TableText"/>
            </w:pPr>
            <w:r>
              <w:t>Total Copper</w:t>
            </w:r>
            <w:r w:rsidR="004A6845">
              <w:t>,</w:t>
            </w:r>
            <w:r>
              <w:t xml:space="preserve"> </w:t>
            </w:r>
            <w:r w:rsidR="000D6CF2">
              <w:t>Total Lead</w:t>
            </w:r>
            <w:r w:rsidR="004A6845">
              <w:t>, and Total Zinc</w:t>
            </w:r>
            <w:r w:rsidR="000D6CF2">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5A56FC" w:rsidRDefault="005A56FC" w:rsidP="002C2F91">
            <w:pPr>
              <w:pStyle w:val="TableText"/>
            </w:pPr>
            <w:r>
              <w:t>J</w:t>
            </w:r>
          </w:p>
        </w:tc>
        <w:tc>
          <w:tcPr>
            <w:tcW w:w="6120" w:type="dxa"/>
            <w:tcBorders>
              <w:top w:val="single" w:sz="4" w:space="0" w:color="auto"/>
              <w:left w:val="single" w:sz="4" w:space="0" w:color="auto"/>
              <w:bottom w:val="single" w:sz="4" w:space="0" w:color="auto"/>
              <w:right w:val="single" w:sz="4" w:space="0" w:color="auto"/>
            </w:tcBorders>
          </w:tcPr>
          <w:p w:rsidR="005A56FC" w:rsidRPr="00FE4F33" w:rsidRDefault="005A56FC" w:rsidP="002C2F91">
            <w:pPr>
              <w:pStyle w:val="TableText"/>
            </w:pPr>
            <w:r w:rsidRPr="001D2A4D">
              <w:t>WQSWB</w:t>
            </w:r>
            <w:r>
              <w:t>118</w:t>
            </w:r>
            <w:r w:rsidRPr="001D2A4D">
              <w:t>.</w:t>
            </w:r>
            <w:r>
              <w:t>6LT,</w:t>
            </w:r>
            <w:r w:rsidRPr="001D2A4D">
              <w:t xml:space="preserve"> WQSWB</w:t>
            </w:r>
            <w:r>
              <w:t>118</w:t>
            </w:r>
            <w:r w:rsidRPr="001D2A4D">
              <w:t>.</w:t>
            </w:r>
            <w:r>
              <w:t>6LB,</w:t>
            </w:r>
            <w:r w:rsidRPr="001D2A4D">
              <w:t xml:space="preserve"> </w:t>
            </w:r>
            <w:r>
              <w:t xml:space="preserve"> </w:t>
            </w:r>
            <w:r w:rsidRPr="001D2A4D">
              <w:t>WQSWB</w:t>
            </w:r>
            <w:r>
              <w:t>118</w:t>
            </w:r>
            <w:r w:rsidRPr="001D2A4D">
              <w:t>.</w:t>
            </w:r>
            <w:r>
              <w:t xml:space="preserve">6MT, </w:t>
            </w:r>
            <w:r w:rsidRPr="00FE4F33">
              <w:t>WQSWB1</w:t>
            </w:r>
            <w:r>
              <w:t>18</w:t>
            </w:r>
            <w:r w:rsidRPr="00FE4F33">
              <w:t>.</w:t>
            </w:r>
            <w:r>
              <w:t>6MB,</w:t>
            </w:r>
            <w:r w:rsidRPr="00FE4F33">
              <w:t xml:space="preserve"> WQSWB1</w:t>
            </w:r>
            <w:r>
              <w:t>18</w:t>
            </w:r>
            <w:r w:rsidRPr="00FE4F33">
              <w:t>.</w:t>
            </w:r>
            <w:r>
              <w:t>6RT,</w:t>
            </w:r>
            <w:r w:rsidRPr="00FE4F33">
              <w:t xml:space="preserve"> </w:t>
            </w:r>
            <w:r>
              <w:t xml:space="preserve">and </w:t>
            </w:r>
            <w:r w:rsidRPr="00FE4F33">
              <w:t>WQSWB1</w:t>
            </w:r>
            <w:r>
              <w:t>18</w:t>
            </w:r>
            <w:r w:rsidRPr="00FE4F33">
              <w:t>.</w:t>
            </w:r>
            <w:r>
              <w:t>6RB</w:t>
            </w:r>
          </w:p>
        </w:tc>
      </w:tr>
      <w:tr w:rsidR="00F60896" w:rsidTr="000D6CF2">
        <w:trPr>
          <w:trHeight w:val="606"/>
          <w:tblHeader/>
        </w:trPr>
        <w:tc>
          <w:tcPr>
            <w:tcW w:w="2340" w:type="dxa"/>
            <w:tcBorders>
              <w:top w:val="single" w:sz="4" w:space="0" w:color="auto"/>
              <w:left w:val="single" w:sz="4" w:space="0" w:color="auto"/>
              <w:bottom w:val="single" w:sz="4" w:space="0" w:color="auto"/>
              <w:right w:val="single" w:sz="4" w:space="0" w:color="auto"/>
            </w:tcBorders>
            <w:vAlign w:val="center"/>
          </w:tcPr>
          <w:p w:rsidR="00F60896" w:rsidRDefault="00F60896" w:rsidP="004A6845">
            <w:pPr>
              <w:pStyle w:val="TableText"/>
            </w:pPr>
            <w:r>
              <w:t>Total Arsenic</w:t>
            </w:r>
            <w:r w:rsidR="004A6845">
              <w:t xml:space="preserve"> and</w:t>
            </w:r>
            <w:r>
              <w:t xml:space="preserve"> </w:t>
            </w:r>
            <w:r w:rsidR="000D6CF2">
              <w:t xml:space="preserve">Total Lead </w:t>
            </w:r>
          </w:p>
        </w:tc>
        <w:tc>
          <w:tcPr>
            <w:tcW w:w="900" w:type="dxa"/>
            <w:tcBorders>
              <w:top w:val="single" w:sz="4" w:space="0" w:color="auto"/>
              <w:left w:val="single" w:sz="4" w:space="0" w:color="auto"/>
              <w:bottom w:val="single" w:sz="4" w:space="0" w:color="auto"/>
              <w:right w:val="single" w:sz="4" w:space="0" w:color="auto"/>
            </w:tcBorders>
            <w:vAlign w:val="center"/>
          </w:tcPr>
          <w:p w:rsidR="00F60896" w:rsidRDefault="00F60896" w:rsidP="002C2F91">
            <w:pPr>
              <w:pStyle w:val="TableText"/>
            </w:pPr>
            <w:r>
              <w:t>UJ</w:t>
            </w:r>
          </w:p>
        </w:tc>
        <w:tc>
          <w:tcPr>
            <w:tcW w:w="6120" w:type="dxa"/>
            <w:tcBorders>
              <w:top w:val="single" w:sz="4" w:space="0" w:color="auto"/>
              <w:left w:val="single" w:sz="4" w:space="0" w:color="auto"/>
              <w:bottom w:val="single" w:sz="4" w:space="0" w:color="auto"/>
              <w:right w:val="single" w:sz="4" w:space="0" w:color="auto"/>
            </w:tcBorders>
          </w:tcPr>
          <w:p w:rsidR="00F60896" w:rsidRPr="00FE4F33" w:rsidRDefault="00F60896" w:rsidP="00F60896">
            <w:pPr>
              <w:pStyle w:val="TableText"/>
            </w:pPr>
            <w:r w:rsidRPr="00FE4F33">
              <w:t>WQSWB1</w:t>
            </w:r>
            <w:r>
              <w:t>18</w:t>
            </w:r>
            <w:r w:rsidRPr="00FE4F33">
              <w:t>.</w:t>
            </w:r>
            <w:r>
              <w:t>6FB</w:t>
            </w:r>
          </w:p>
        </w:tc>
      </w:tr>
      <w:tr w:rsidR="004A6845" w:rsidTr="000D6CF2">
        <w:trPr>
          <w:trHeight w:val="606"/>
          <w:tblHeader/>
        </w:trPr>
        <w:tc>
          <w:tcPr>
            <w:tcW w:w="2340" w:type="dxa"/>
            <w:tcBorders>
              <w:top w:val="single" w:sz="4" w:space="0" w:color="auto"/>
              <w:left w:val="single" w:sz="4" w:space="0" w:color="auto"/>
              <w:bottom w:val="single" w:sz="4" w:space="0" w:color="auto"/>
              <w:right w:val="single" w:sz="4" w:space="0" w:color="auto"/>
            </w:tcBorders>
            <w:vAlign w:val="center"/>
          </w:tcPr>
          <w:p w:rsidR="004A6845" w:rsidRDefault="004A6845" w:rsidP="004A6845">
            <w:pPr>
              <w:pStyle w:val="TableText"/>
            </w:pPr>
            <w:r>
              <w:t>Total Zinc</w:t>
            </w:r>
          </w:p>
        </w:tc>
        <w:tc>
          <w:tcPr>
            <w:tcW w:w="900" w:type="dxa"/>
            <w:tcBorders>
              <w:top w:val="single" w:sz="4" w:space="0" w:color="auto"/>
              <w:left w:val="single" w:sz="4" w:space="0" w:color="auto"/>
              <w:bottom w:val="single" w:sz="4" w:space="0" w:color="auto"/>
              <w:right w:val="single" w:sz="4" w:space="0" w:color="auto"/>
            </w:tcBorders>
            <w:vAlign w:val="center"/>
          </w:tcPr>
          <w:p w:rsidR="004A6845" w:rsidRDefault="004A6845" w:rsidP="002C2F91">
            <w:pPr>
              <w:pStyle w:val="TableText"/>
            </w:pPr>
            <w:r>
              <w:t>J</w:t>
            </w:r>
          </w:p>
        </w:tc>
        <w:tc>
          <w:tcPr>
            <w:tcW w:w="6120" w:type="dxa"/>
            <w:tcBorders>
              <w:top w:val="single" w:sz="4" w:space="0" w:color="auto"/>
              <w:left w:val="single" w:sz="4" w:space="0" w:color="auto"/>
              <w:bottom w:val="single" w:sz="4" w:space="0" w:color="auto"/>
              <w:right w:val="single" w:sz="4" w:space="0" w:color="auto"/>
            </w:tcBorders>
          </w:tcPr>
          <w:p w:rsidR="004A6845" w:rsidRPr="00FE4F33" w:rsidRDefault="004A6845" w:rsidP="00F60896">
            <w:pPr>
              <w:pStyle w:val="TableText"/>
            </w:pPr>
            <w:r w:rsidRPr="00FE4F33">
              <w:t>WQSWB1</w:t>
            </w:r>
            <w:r>
              <w:t>18</w:t>
            </w:r>
            <w:r w:rsidRPr="00FE4F33">
              <w:t>.</w:t>
            </w:r>
            <w:r>
              <w:t>6FB</w:t>
            </w:r>
          </w:p>
        </w:tc>
      </w:tr>
      <w:tr w:rsidR="00DD3E93" w:rsidTr="000D6CF2">
        <w:trPr>
          <w:trHeight w:val="606"/>
          <w:tblHeader/>
        </w:trPr>
        <w:tc>
          <w:tcPr>
            <w:tcW w:w="2340" w:type="dxa"/>
            <w:tcBorders>
              <w:top w:val="single" w:sz="4" w:space="0" w:color="auto"/>
              <w:left w:val="single" w:sz="4" w:space="0" w:color="auto"/>
              <w:bottom w:val="single" w:sz="4" w:space="0" w:color="auto"/>
              <w:right w:val="single" w:sz="4" w:space="0" w:color="auto"/>
            </w:tcBorders>
            <w:vAlign w:val="center"/>
          </w:tcPr>
          <w:p w:rsidR="00DD3E93" w:rsidRDefault="00DD3E93" w:rsidP="004A6845">
            <w:pPr>
              <w:pStyle w:val="TableText"/>
            </w:pPr>
            <w:r>
              <w:t>Total Phosphorus</w:t>
            </w:r>
          </w:p>
        </w:tc>
        <w:tc>
          <w:tcPr>
            <w:tcW w:w="900" w:type="dxa"/>
            <w:tcBorders>
              <w:top w:val="single" w:sz="4" w:space="0" w:color="auto"/>
              <w:left w:val="single" w:sz="4" w:space="0" w:color="auto"/>
              <w:bottom w:val="single" w:sz="4" w:space="0" w:color="auto"/>
              <w:right w:val="single" w:sz="4" w:space="0" w:color="auto"/>
            </w:tcBorders>
            <w:vAlign w:val="center"/>
          </w:tcPr>
          <w:p w:rsidR="00DD3E93" w:rsidRDefault="00B459C0" w:rsidP="002C2F91">
            <w:pPr>
              <w:pStyle w:val="TableText"/>
            </w:pPr>
            <w:r>
              <w:t>R</w:t>
            </w:r>
          </w:p>
        </w:tc>
        <w:tc>
          <w:tcPr>
            <w:tcW w:w="6120" w:type="dxa"/>
            <w:tcBorders>
              <w:top w:val="single" w:sz="4" w:space="0" w:color="auto"/>
              <w:left w:val="single" w:sz="4" w:space="0" w:color="auto"/>
              <w:bottom w:val="single" w:sz="4" w:space="0" w:color="auto"/>
              <w:right w:val="single" w:sz="4" w:space="0" w:color="auto"/>
            </w:tcBorders>
          </w:tcPr>
          <w:p w:rsidR="00DD3E93" w:rsidRPr="00FE4F33" w:rsidRDefault="00DD3E93" w:rsidP="00F60896">
            <w:pPr>
              <w:pStyle w:val="TableText"/>
            </w:pPr>
            <w:r w:rsidRPr="00FE4F33">
              <w:t>WQSWB142.3RT</w:t>
            </w:r>
            <w:r>
              <w:t>,</w:t>
            </w:r>
            <w:r w:rsidRPr="001D2A4D">
              <w:t xml:space="preserve"> WQSWB</w:t>
            </w:r>
            <w:r>
              <w:t>142</w:t>
            </w:r>
            <w:r w:rsidRPr="001D2A4D">
              <w:t>.</w:t>
            </w:r>
            <w:r>
              <w:t>3</w:t>
            </w:r>
            <w:r w:rsidRPr="001D2A4D">
              <w:t>R</w:t>
            </w:r>
            <w:r>
              <w:t>B,</w:t>
            </w:r>
            <w:r w:rsidRPr="001D2A4D">
              <w:t xml:space="preserve"> WQSWB</w:t>
            </w:r>
            <w:r>
              <w:t>142</w:t>
            </w:r>
            <w:r w:rsidRPr="001D2A4D">
              <w:t>.</w:t>
            </w:r>
            <w:r>
              <w:t>3MT,</w:t>
            </w:r>
            <w:r w:rsidRPr="001D2A4D">
              <w:t xml:space="preserve"> WQSWB</w:t>
            </w:r>
            <w:r>
              <w:t>142</w:t>
            </w:r>
            <w:r w:rsidRPr="001D2A4D">
              <w:t>.</w:t>
            </w:r>
            <w:r>
              <w:t>3</w:t>
            </w:r>
            <w:r w:rsidRPr="001D2A4D">
              <w:t>R</w:t>
            </w:r>
            <w:r>
              <w:t>D,</w:t>
            </w:r>
            <w:r w:rsidRPr="001D2A4D">
              <w:t xml:space="preserve"> WQSWB</w:t>
            </w:r>
            <w:r>
              <w:t>142</w:t>
            </w:r>
            <w:r w:rsidRPr="001D2A4D">
              <w:t>.</w:t>
            </w:r>
            <w:r>
              <w:t>3LT,</w:t>
            </w:r>
            <w:r w:rsidRPr="001D2A4D">
              <w:t xml:space="preserve"> </w:t>
            </w:r>
            <w:r>
              <w:t xml:space="preserve">and </w:t>
            </w:r>
            <w:r w:rsidRPr="001D2A4D">
              <w:t>WQSWB</w:t>
            </w:r>
            <w:r>
              <w:t>142</w:t>
            </w:r>
            <w:r w:rsidRPr="001D2A4D">
              <w:t>.</w:t>
            </w:r>
            <w:r>
              <w:t>3LB,</w:t>
            </w:r>
            <w:r w:rsidRPr="001D2A4D">
              <w:t xml:space="preserve"> WQSWB</w:t>
            </w:r>
            <w:r>
              <w:t>118</w:t>
            </w:r>
            <w:r w:rsidRPr="001D2A4D">
              <w:t>.</w:t>
            </w:r>
            <w:r>
              <w:t>6LT,</w:t>
            </w:r>
            <w:r w:rsidRPr="001D2A4D">
              <w:t xml:space="preserve"> WQSWB</w:t>
            </w:r>
            <w:r>
              <w:t>118</w:t>
            </w:r>
            <w:r w:rsidRPr="001D2A4D">
              <w:t>.</w:t>
            </w:r>
            <w:r>
              <w:t>6LB,</w:t>
            </w:r>
            <w:r w:rsidRPr="001D2A4D">
              <w:t xml:space="preserve"> </w:t>
            </w:r>
            <w:r>
              <w:t xml:space="preserve"> </w:t>
            </w:r>
            <w:r w:rsidRPr="001D2A4D">
              <w:t>WQSWB</w:t>
            </w:r>
            <w:r>
              <w:t>118</w:t>
            </w:r>
            <w:r w:rsidRPr="001D2A4D">
              <w:t>.</w:t>
            </w:r>
            <w:r>
              <w:t xml:space="preserve">6MT, </w:t>
            </w:r>
            <w:r w:rsidRPr="00FE4F33">
              <w:t>WQSWB1</w:t>
            </w:r>
            <w:r>
              <w:t>18</w:t>
            </w:r>
            <w:r w:rsidRPr="00FE4F33">
              <w:t>.</w:t>
            </w:r>
            <w:r>
              <w:t>6MB,</w:t>
            </w:r>
            <w:r w:rsidRPr="00FE4F33">
              <w:t xml:space="preserve"> WQSWB1</w:t>
            </w:r>
            <w:r>
              <w:t>18</w:t>
            </w:r>
            <w:r w:rsidRPr="00FE4F33">
              <w:t>.</w:t>
            </w:r>
            <w:r>
              <w:t>6RT,</w:t>
            </w:r>
            <w:r w:rsidRPr="00FE4F33">
              <w:t xml:space="preserve"> </w:t>
            </w:r>
            <w:r>
              <w:t xml:space="preserve">and </w:t>
            </w:r>
            <w:r w:rsidRPr="00FE4F33">
              <w:t>WQSWB1</w:t>
            </w:r>
            <w:r>
              <w:t>18</w:t>
            </w:r>
            <w:r w:rsidRPr="00FE4F33">
              <w:t>.</w:t>
            </w:r>
            <w:r>
              <w:t>6RB</w:t>
            </w:r>
          </w:p>
        </w:tc>
      </w:tr>
    </w:tbl>
    <w:p w:rsidR="00CF1C2C" w:rsidRDefault="00CF1C2C" w:rsidP="00BB5A28"/>
    <w:p w:rsidR="00BB5A28" w:rsidRPr="007168D2" w:rsidRDefault="00BB5A28" w:rsidP="007168D2">
      <w:pPr>
        <w:pStyle w:val="Caption"/>
      </w:pPr>
      <w:proofErr w:type="gramStart"/>
      <w:r w:rsidRPr="007168D2">
        <w:t>Table 4.8-</w:t>
      </w:r>
      <w:proofErr w:type="gramEnd"/>
      <w:r w:rsidR="0092490C">
        <w:fldChar w:fldCharType="begin"/>
      </w:r>
      <w:r w:rsidR="00415A16">
        <w:instrText xml:space="preserve"> SEQ Table_4.8- \* ARABIC </w:instrText>
      </w:r>
      <w:r w:rsidR="0092490C">
        <w:fldChar w:fldCharType="separate"/>
      </w:r>
      <w:r w:rsidR="00461C20">
        <w:rPr>
          <w:noProof/>
        </w:rPr>
        <w:t>1</w:t>
      </w:r>
      <w:r w:rsidR="0092490C">
        <w:fldChar w:fldCharType="end"/>
      </w:r>
      <w:proofErr w:type="gramStart"/>
      <w:r w:rsidRPr="007168D2">
        <w:t>.</w:t>
      </w:r>
      <w:proofErr w:type="gramEnd"/>
      <w:r w:rsidRPr="007168D2">
        <w:t xml:space="preserve">  </w:t>
      </w:r>
      <w:r w:rsidR="002076E9">
        <w:t xml:space="preserve">Field Replicate </w:t>
      </w:r>
      <w:r w:rsidRPr="007168D2">
        <w:t xml:space="preserve">RPDs </w:t>
      </w:r>
      <w:r w:rsidR="002076E9">
        <w:t>that Exceed Quality Control Criteria</w:t>
      </w:r>
      <w:r w:rsidR="002C2F91">
        <w:t xml:space="preserve"> and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2448"/>
        <w:gridCol w:w="3348"/>
      </w:tblGrid>
      <w:tr w:rsidR="002C2F91" w:rsidRPr="00E948BA" w:rsidTr="002C2F91">
        <w:tc>
          <w:tcPr>
            <w:tcW w:w="3672" w:type="dxa"/>
            <w:shd w:val="clear" w:color="auto" w:fill="auto"/>
          </w:tcPr>
          <w:p w:rsidR="002C2F91" w:rsidRPr="00382CD2" w:rsidRDefault="002C2F91" w:rsidP="00A44ABD">
            <w:pPr>
              <w:pStyle w:val="TableText"/>
              <w:rPr>
                <w:b/>
              </w:rPr>
            </w:pPr>
            <w:r w:rsidRPr="00382CD2">
              <w:rPr>
                <w:b/>
              </w:rPr>
              <w:t>Analyte</w:t>
            </w:r>
          </w:p>
        </w:tc>
        <w:tc>
          <w:tcPr>
            <w:tcW w:w="2448" w:type="dxa"/>
            <w:shd w:val="clear" w:color="auto" w:fill="auto"/>
          </w:tcPr>
          <w:p w:rsidR="002C2F91" w:rsidRPr="00382CD2" w:rsidRDefault="002C2F91" w:rsidP="00A44ABD">
            <w:pPr>
              <w:pStyle w:val="TableText"/>
              <w:rPr>
                <w:b/>
              </w:rPr>
            </w:pPr>
            <w:r>
              <w:rPr>
                <w:b/>
              </w:rPr>
              <w:t>Relative Percent Difference (</w:t>
            </w:r>
            <w:r w:rsidRPr="00382CD2">
              <w:rPr>
                <w:b/>
              </w:rPr>
              <w:t>RPD</w:t>
            </w:r>
            <w:r>
              <w:rPr>
                <w:b/>
              </w:rPr>
              <w:t>)</w:t>
            </w:r>
          </w:p>
        </w:tc>
        <w:tc>
          <w:tcPr>
            <w:tcW w:w="3348" w:type="dxa"/>
          </w:tcPr>
          <w:p w:rsidR="002C2F91" w:rsidRDefault="002C2F91" w:rsidP="00A44ABD">
            <w:pPr>
              <w:pStyle w:val="TableText"/>
              <w:rPr>
                <w:b/>
              </w:rPr>
            </w:pPr>
            <w:r>
              <w:rPr>
                <w:b/>
              </w:rPr>
              <w:t>Action</w:t>
            </w:r>
          </w:p>
        </w:tc>
      </w:tr>
      <w:tr w:rsidR="002C2F91" w:rsidRPr="00E948BA" w:rsidTr="002C2F91">
        <w:tc>
          <w:tcPr>
            <w:tcW w:w="3672" w:type="dxa"/>
            <w:shd w:val="clear" w:color="auto" w:fill="auto"/>
          </w:tcPr>
          <w:p w:rsidR="002C2F91" w:rsidRPr="00E948BA" w:rsidRDefault="002C2F91" w:rsidP="002C2F91">
            <w:pPr>
              <w:pStyle w:val="TableText"/>
            </w:pPr>
            <w:r w:rsidRPr="00E948BA">
              <w:t>Dissolved Co</w:t>
            </w:r>
            <w:r>
              <w:t>balt</w:t>
            </w:r>
          </w:p>
        </w:tc>
        <w:tc>
          <w:tcPr>
            <w:tcW w:w="2448" w:type="dxa"/>
            <w:shd w:val="clear" w:color="auto" w:fill="auto"/>
          </w:tcPr>
          <w:p w:rsidR="002C2F91" w:rsidRPr="00E948BA" w:rsidRDefault="002C2F91" w:rsidP="002C2F91">
            <w:pPr>
              <w:pStyle w:val="TableText"/>
            </w:pPr>
            <w:r>
              <w:t>50</w:t>
            </w:r>
          </w:p>
        </w:tc>
        <w:tc>
          <w:tcPr>
            <w:tcW w:w="3348" w:type="dxa"/>
          </w:tcPr>
          <w:p w:rsidR="002C2F91" w:rsidRDefault="00B132DA" w:rsidP="00B132DA">
            <w:pPr>
              <w:pStyle w:val="TableText"/>
            </w:pPr>
            <w:r>
              <w:t>Both</w:t>
            </w:r>
            <w:r w:rsidR="002C2F91">
              <w:t xml:space="preserve"> results </w:t>
            </w:r>
            <w:r w:rsidR="00A67AFB">
              <w:t xml:space="preserve">were </w:t>
            </w:r>
            <w:r w:rsidR="002C2F91">
              <w:t>qualified as estimated (J</w:t>
            </w:r>
            <w:r w:rsidR="005C70D6">
              <w:t>/UJ</w:t>
            </w:r>
            <w:r w:rsidR="002C2F91">
              <w:t>).</w:t>
            </w:r>
          </w:p>
        </w:tc>
      </w:tr>
      <w:tr w:rsidR="002C2F91" w:rsidRPr="00E948BA" w:rsidTr="002C2F91">
        <w:tc>
          <w:tcPr>
            <w:tcW w:w="3672" w:type="dxa"/>
            <w:shd w:val="clear" w:color="auto" w:fill="auto"/>
          </w:tcPr>
          <w:p w:rsidR="002C2F91" w:rsidRPr="00E948BA" w:rsidRDefault="002C2F91" w:rsidP="002C2F91">
            <w:pPr>
              <w:pStyle w:val="TableText"/>
            </w:pPr>
            <w:r w:rsidRPr="00E948BA">
              <w:t xml:space="preserve">Dissolved </w:t>
            </w:r>
            <w:r>
              <w:t>Iron</w:t>
            </w:r>
          </w:p>
        </w:tc>
        <w:tc>
          <w:tcPr>
            <w:tcW w:w="2448" w:type="dxa"/>
            <w:shd w:val="clear" w:color="auto" w:fill="auto"/>
          </w:tcPr>
          <w:p w:rsidR="002C2F91" w:rsidRPr="00E948BA" w:rsidRDefault="002C2F91" w:rsidP="002C2F91">
            <w:pPr>
              <w:pStyle w:val="TableText"/>
            </w:pPr>
            <w:r>
              <w:t>21</w:t>
            </w:r>
          </w:p>
        </w:tc>
        <w:tc>
          <w:tcPr>
            <w:tcW w:w="3348" w:type="dxa"/>
          </w:tcPr>
          <w:p w:rsidR="002C2F91" w:rsidRDefault="002C2F91" w:rsidP="00A67AFB">
            <w:pPr>
              <w:pStyle w:val="TableText"/>
            </w:pPr>
            <w:r>
              <w:t>No data were qualified since the RPD only exceeds QC criteri</w:t>
            </w:r>
            <w:r w:rsidR="00A67AFB">
              <w:t>on</w:t>
            </w:r>
            <w:r>
              <w:t xml:space="preserve"> </w:t>
            </w:r>
            <w:r w:rsidR="00A67AFB">
              <w:t xml:space="preserve">by 1 (21 verses 20) </w:t>
            </w:r>
            <w:r>
              <w:lastRenderedPageBreak/>
              <w:t>and both results were &lt; 5 times the RL.</w:t>
            </w:r>
          </w:p>
        </w:tc>
      </w:tr>
      <w:tr w:rsidR="002C2F91" w:rsidRPr="00E948BA" w:rsidTr="002C2F91">
        <w:tc>
          <w:tcPr>
            <w:tcW w:w="3672" w:type="dxa"/>
            <w:shd w:val="clear" w:color="auto" w:fill="auto"/>
          </w:tcPr>
          <w:p w:rsidR="002C2F91" w:rsidRPr="00E948BA" w:rsidRDefault="002C2F91" w:rsidP="00B132DA">
            <w:pPr>
              <w:pStyle w:val="TableText"/>
            </w:pPr>
            <w:r>
              <w:lastRenderedPageBreak/>
              <w:t xml:space="preserve">Total </w:t>
            </w:r>
            <w:r w:rsidR="00B132DA">
              <w:t>Mercury</w:t>
            </w:r>
          </w:p>
        </w:tc>
        <w:tc>
          <w:tcPr>
            <w:tcW w:w="2448" w:type="dxa"/>
            <w:shd w:val="clear" w:color="auto" w:fill="auto"/>
          </w:tcPr>
          <w:p w:rsidR="002C2F91" w:rsidRPr="00E948BA" w:rsidRDefault="00B132DA" w:rsidP="00B132DA">
            <w:pPr>
              <w:pStyle w:val="TableText"/>
            </w:pPr>
            <w:r>
              <w:t>200</w:t>
            </w:r>
          </w:p>
        </w:tc>
        <w:tc>
          <w:tcPr>
            <w:tcW w:w="3348" w:type="dxa"/>
          </w:tcPr>
          <w:p w:rsidR="002C2F91" w:rsidRDefault="00B132DA" w:rsidP="00B132DA">
            <w:pPr>
              <w:pStyle w:val="TableText"/>
            </w:pPr>
            <w:r>
              <w:t xml:space="preserve">Both results </w:t>
            </w:r>
            <w:r w:rsidR="00A67AFB">
              <w:t xml:space="preserve">were </w:t>
            </w:r>
            <w:r>
              <w:t>qualified as estimated (J/UJ).</w:t>
            </w:r>
          </w:p>
        </w:tc>
      </w:tr>
      <w:tr w:rsidR="002C2F91" w:rsidRPr="00E948BA" w:rsidTr="002C2F91">
        <w:tc>
          <w:tcPr>
            <w:tcW w:w="3672" w:type="dxa"/>
            <w:shd w:val="clear" w:color="auto" w:fill="auto"/>
          </w:tcPr>
          <w:p w:rsidR="002C2F91" w:rsidRDefault="00B132DA" w:rsidP="00B132DA">
            <w:pPr>
              <w:pStyle w:val="TableText"/>
            </w:pPr>
            <w:r>
              <w:t>Dissolved Mercury</w:t>
            </w:r>
          </w:p>
        </w:tc>
        <w:tc>
          <w:tcPr>
            <w:tcW w:w="2448" w:type="dxa"/>
            <w:shd w:val="clear" w:color="auto" w:fill="auto"/>
          </w:tcPr>
          <w:p w:rsidR="002C2F91" w:rsidRPr="00E948BA" w:rsidRDefault="00B132DA" w:rsidP="00B132DA">
            <w:pPr>
              <w:pStyle w:val="TableText"/>
            </w:pPr>
            <w:r>
              <w:t>181</w:t>
            </w:r>
          </w:p>
        </w:tc>
        <w:tc>
          <w:tcPr>
            <w:tcW w:w="3348" w:type="dxa"/>
          </w:tcPr>
          <w:p w:rsidR="002C2F91" w:rsidRDefault="00B132DA" w:rsidP="00B132DA">
            <w:pPr>
              <w:pStyle w:val="TableText"/>
            </w:pPr>
            <w:r>
              <w:t xml:space="preserve">Both results </w:t>
            </w:r>
            <w:r w:rsidR="00A67AFB">
              <w:t xml:space="preserve">were </w:t>
            </w:r>
            <w:r>
              <w:t>qualified as estimated (J/UJ).</w:t>
            </w:r>
          </w:p>
        </w:tc>
      </w:tr>
      <w:tr w:rsidR="002C2F91" w:rsidRPr="00E948BA" w:rsidTr="002C2F91">
        <w:tc>
          <w:tcPr>
            <w:tcW w:w="3672" w:type="dxa"/>
            <w:shd w:val="clear" w:color="auto" w:fill="auto"/>
          </w:tcPr>
          <w:p w:rsidR="002C2F91" w:rsidRPr="00E948BA" w:rsidRDefault="00B132DA" w:rsidP="00823C6A">
            <w:pPr>
              <w:pStyle w:val="TableText"/>
            </w:pPr>
            <w:r>
              <w:t>Soluble Reactive Phosphorus</w:t>
            </w:r>
          </w:p>
        </w:tc>
        <w:tc>
          <w:tcPr>
            <w:tcW w:w="2448" w:type="dxa"/>
            <w:shd w:val="clear" w:color="auto" w:fill="auto"/>
          </w:tcPr>
          <w:p w:rsidR="002C2F91" w:rsidRDefault="00B132DA" w:rsidP="00B132DA">
            <w:pPr>
              <w:pStyle w:val="TableText"/>
            </w:pPr>
            <w:r>
              <w:t>200</w:t>
            </w:r>
          </w:p>
        </w:tc>
        <w:tc>
          <w:tcPr>
            <w:tcW w:w="3348" w:type="dxa"/>
          </w:tcPr>
          <w:p w:rsidR="002C2F91" w:rsidRDefault="00B132DA" w:rsidP="00A44ABD">
            <w:pPr>
              <w:pStyle w:val="TableText"/>
            </w:pPr>
            <w:r>
              <w:t xml:space="preserve">Both results </w:t>
            </w:r>
            <w:r w:rsidR="00A67AFB">
              <w:t xml:space="preserve">were </w:t>
            </w:r>
            <w:r>
              <w:t>qualified as estimated (J/UJ)</w:t>
            </w:r>
          </w:p>
        </w:tc>
      </w:tr>
      <w:tr w:rsidR="002C2F91" w:rsidRPr="00E948BA" w:rsidTr="002C2F91">
        <w:tc>
          <w:tcPr>
            <w:tcW w:w="3672" w:type="dxa"/>
            <w:shd w:val="clear" w:color="auto" w:fill="auto"/>
          </w:tcPr>
          <w:p w:rsidR="002C2F91" w:rsidRPr="00E948BA" w:rsidRDefault="005C70D6" w:rsidP="00823C6A">
            <w:pPr>
              <w:pStyle w:val="TableText"/>
            </w:pPr>
            <w:r>
              <w:t>Total Suspended Solids</w:t>
            </w:r>
          </w:p>
        </w:tc>
        <w:tc>
          <w:tcPr>
            <w:tcW w:w="2448" w:type="dxa"/>
            <w:shd w:val="clear" w:color="auto" w:fill="auto"/>
          </w:tcPr>
          <w:p w:rsidR="002C2F91" w:rsidRPr="00E948BA" w:rsidRDefault="005C70D6" w:rsidP="00A44ABD">
            <w:pPr>
              <w:pStyle w:val="TableText"/>
            </w:pPr>
            <w:r>
              <w:t>7</w:t>
            </w:r>
          </w:p>
        </w:tc>
        <w:tc>
          <w:tcPr>
            <w:tcW w:w="3348" w:type="dxa"/>
          </w:tcPr>
          <w:p w:rsidR="002C2F91" w:rsidRDefault="005C70D6" w:rsidP="00A44ABD">
            <w:pPr>
              <w:pStyle w:val="TableText"/>
            </w:pPr>
            <w:r>
              <w:t xml:space="preserve">Both results </w:t>
            </w:r>
            <w:r w:rsidR="00A67AFB">
              <w:t xml:space="preserve">were </w:t>
            </w:r>
            <w:r>
              <w:t>qualified as estimated (J/UJ)</w:t>
            </w:r>
          </w:p>
        </w:tc>
      </w:tr>
    </w:tbl>
    <w:p w:rsidR="00BB5A28" w:rsidRDefault="00BB5A28" w:rsidP="00BB5A28">
      <w:pPr>
        <w:pStyle w:val="TableNote"/>
      </w:pPr>
      <w:r>
        <w:t xml:space="preserve">  </w:t>
      </w:r>
      <w:r w:rsidR="00B132DA">
        <w:t xml:space="preserve">Field duplicate sample pair </w:t>
      </w:r>
      <w:r w:rsidR="005C70D6">
        <w:t>includes</w:t>
      </w:r>
      <w:r w:rsidR="00B132DA">
        <w:t xml:space="preserve"> samples WQSWB142.3RT and WQSWB142.3RT</w:t>
      </w:r>
    </w:p>
    <w:p w:rsidR="001E7985" w:rsidRDefault="001E7985" w:rsidP="008C50A5">
      <w:pPr>
        <w:pStyle w:val="Caption"/>
      </w:pPr>
    </w:p>
    <w:p w:rsidR="008C50A5" w:rsidRPr="007168D2" w:rsidRDefault="008C50A5" w:rsidP="008C50A5">
      <w:pPr>
        <w:pStyle w:val="Caption"/>
      </w:pPr>
      <w:proofErr w:type="gramStart"/>
      <w:r w:rsidRPr="007168D2">
        <w:t>Table 4.</w:t>
      </w:r>
      <w:r>
        <w:t>10</w:t>
      </w:r>
      <w:r w:rsidRPr="007168D2">
        <w:t>-</w:t>
      </w:r>
      <w:proofErr w:type="gramEnd"/>
      <w:r w:rsidR="002B6459">
        <w:fldChar w:fldCharType="begin"/>
      </w:r>
      <w:r w:rsidR="002B6459">
        <w:instrText xml:space="preserve"> SEQ Table_4.8- \* ARABIC </w:instrText>
      </w:r>
      <w:r w:rsidR="002B6459">
        <w:fldChar w:fldCharType="separate"/>
      </w:r>
      <w:r w:rsidR="00461C20">
        <w:rPr>
          <w:noProof/>
        </w:rPr>
        <w:t>2</w:t>
      </w:r>
      <w:r w:rsidR="002B6459">
        <w:rPr>
          <w:noProof/>
        </w:rPr>
        <w:fldChar w:fldCharType="end"/>
      </w:r>
      <w:proofErr w:type="gramStart"/>
      <w:r w:rsidRPr="007168D2">
        <w:t>.</w:t>
      </w:r>
      <w:proofErr w:type="gramEnd"/>
      <w:r w:rsidRPr="007168D2">
        <w:t xml:space="preserve">  </w:t>
      </w:r>
      <w:r>
        <w:t>Sample Dilution</w:t>
      </w:r>
      <w:r w:rsidR="00AB0878">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278"/>
        <w:gridCol w:w="4518"/>
      </w:tblGrid>
      <w:tr w:rsidR="008C50A5" w:rsidRPr="00E948BA" w:rsidTr="00FE4838">
        <w:tc>
          <w:tcPr>
            <w:tcW w:w="3672" w:type="dxa"/>
            <w:shd w:val="clear" w:color="auto" w:fill="auto"/>
          </w:tcPr>
          <w:p w:rsidR="008C50A5" w:rsidRPr="00382CD2" w:rsidRDefault="008C50A5" w:rsidP="008C50A5">
            <w:pPr>
              <w:pStyle w:val="TableText"/>
              <w:rPr>
                <w:b/>
              </w:rPr>
            </w:pPr>
            <w:r>
              <w:rPr>
                <w:b/>
              </w:rPr>
              <w:t xml:space="preserve">Analysis </w:t>
            </w:r>
          </w:p>
        </w:tc>
        <w:tc>
          <w:tcPr>
            <w:tcW w:w="1278" w:type="dxa"/>
            <w:shd w:val="clear" w:color="auto" w:fill="auto"/>
          </w:tcPr>
          <w:p w:rsidR="008C50A5" w:rsidRPr="00382CD2" w:rsidRDefault="008C50A5" w:rsidP="008C50A5">
            <w:pPr>
              <w:pStyle w:val="TableText"/>
              <w:rPr>
                <w:b/>
              </w:rPr>
            </w:pPr>
            <w:r>
              <w:rPr>
                <w:b/>
              </w:rPr>
              <w:t>Dilution Factor</w:t>
            </w:r>
          </w:p>
        </w:tc>
        <w:tc>
          <w:tcPr>
            <w:tcW w:w="4518" w:type="dxa"/>
          </w:tcPr>
          <w:p w:rsidR="008C50A5" w:rsidRDefault="008C50A5" w:rsidP="008C50A5">
            <w:pPr>
              <w:pStyle w:val="TableText"/>
              <w:rPr>
                <w:b/>
              </w:rPr>
            </w:pPr>
            <w:r>
              <w:rPr>
                <w:b/>
              </w:rPr>
              <w:t>Samples</w:t>
            </w:r>
          </w:p>
        </w:tc>
      </w:tr>
      <w:tr w:rsidR="008C50A5" w:rsidRPr="00E948BA" w:rsidTr="00FE4838">
        <w:tc>
          <w:tcPr>
            <w:tcW w:w="3672" w:type="dxa"/>
            <w:shd w:val="clear" w:color="auto" w:fill="auto"/>
          </w:tcPr>
          <w:p w:rsidR="008C50A5" w:rsidRPr="00E948BA" w:rsidRDefault="00FE4838" w:rsidP="00A44816">
            <w:pPr>
              <w:pStyle w:val="TableText"/>
            </w:pPr>
            <w:r>
              <w:t xml:space="preserve">Dissolved and </w:t>
            </w:r>
            <w:r w:rsidR="008C50A5">
              <w:t xml:space="preserve">Total Metals </w:t>
            </w:r>
          </w:p>
        </w:tc>
        <w:tc>
          <w:tcPr>
            <w:tcW w:w="1278" w:type="dxa"/>
            <w:shd w:val="clear" w:color="auto" w:fill="auto"/>
          </w:tcPr>
          <w:p w:rsidR="008C50A5" w:rsidRPr="00E948BA" w:rsidRDefault="008C50A5" w:rsidP="00A44816">
            <w:pPr>
              <w:pStyle w:val="TableText"/>
            </w:pPr>
            <w:r>
              <w:t>2.5</w:t>
            </w:r>
          </w:p>
        </w:tc>
        <w:tc>
          <w:tcPr>
            <w:tcW w:w="4518" w:type="dxa"/>
          </w:tcPr>
          <w:p w:rsidR="008C50A5" w:rsidRDefault="008C50A5" w:rsidP="00A67AFB">
            <w:pPr>
              <w:pStyle w:val="TableText"/>
            </w:pPr>
            <w:r>
              <w:t>WQSWB142.3RT</w:t>
            </w:r>
            <w:r w:rsidR="00FE4838">
              <w:t>, WQSWB142.3LT</w:t>
            </w:r>
            <w:r w:rsidR="00EB4203">
              <w:t xml:space="preserve">, </w:t>
            </w:r>
            <w:r w:rsidR="00A67AFB">
              <w:t xml:space="preserve">and </w:t>
            </w:r>
            <w:r w:rsidR="00EB4203">
              <w:t>WQSWB118.6FB</w:t>
            </w:r>
            <w:r w:rsidR="00FE4838">
              <w:t xml:space="preserve"> </w:t>
            </w:r>
          </w:p>
        </w:tc>
      </w:tr>
      <w:tr w:rsidR="008C50A5" w:rsidRPr="00E948BA" w:rsidTr="00A67AFB">
        <w:trPr>
          <w:trHeight w:val="1061"/>
        </w:trPr>
        <w:tc>
          <w:tcPr>
            <w:tcW w:w="3672" w:type="dxa"/>
            <w:shd w:val="clear" w:color="auto" w:fill="auto"/>
          </w:tcPr>
          <w:p w:rsidR="008C50A5" w:rsidRPr="00E948BA" w:rsidRDefault="008C50A5" w:rsidP="00A44816">
            <w:pPr>
              <w:pStyle w:val="TableText"/>
            </w:pPr>
            <w:r>
              <w:t>Turbidity</w:t>
            </w:r>
          </w:p>
        </w:tc>
        <w:tc>
          <w:tcPr>
            <w:tcW w:w="1278" w:type="dxa"/>
            <w:shd w:val="clear" w:color="auto" w:fill="auto"/>
          </w:tcPr>
          <w:p w:rsidR="008C50A5" w:rsidRPr="00E948BA" w:rsidRDefault="008C50A5" w:rsidP="00A44816">
            <w:pPr>
              <w:pStyle w:val="TableText"/>
            </w:pPr>
            <w:r>
              <w:t>20</w:t>
            </w:r>
          </w:p>
        </w:tc>
        <w:tc>
          <w:tcPr>
            <w:tcW w:w="4518" w:type="dxa"/>
          </w:tcPr>
          <w:p w:rsidR="008C50A5" w:rsidRDefault="008C50A5" w:rsidP="00A67AFB">
            <w:pPr>
              <w:pStyle w:val="TableText"/>
            </w:pPr>
            <w:r>
              <w:t>WQSWB142.3RT,</w:t>
            </w:r>
            <w:r w:rsidRPr="008C50A5">
              <w:rPr>
                <w:rFonts w:ascii="Times New Roman" w:hAnsi="Times New Roman"/>
                <w:sz w:val="24"/>
              </w:rPr>
              <w:t xml:space="preserve"> </w:t>
            </w:r>
            <w:r w:rsidRPr="008C50A5">
              <w:t>WQSWB142.3R</w:t>
            </w:r>
            <w:r>
              <w:t>B, WQSWB142.3MT</w:t>
            </w:r>
            <w:r w:rsidR="00FE4838">
              <w:t>, WQSWB142.3RD, WQSWB142.3LT, WQSWB142.3LB,</w:t>
            </w:r>
            <w:r w:rsidR="003A1E3A">
              <w:t xml:space="preserve"> WQSWB118.6LT, WQSWB118.6LB,</w:t>
            </w:r>
            <w:r w:rsidR="00EB4203">
              <w:t xml:space="preserve"> WQSWB118.6MT, WQSWB118.6MB, WQSWB118.6RT, </w:t>
            </w:r>
            <w:r w:rsidR="00A67AFB">
              <w:t xml:space="preserve">and </w:t>
            </w:r>
            <w:r w:rsidR="00EB4203">
              <w:t>WQSWB118.6RB</w:t>
            </w:r>
          </w:p>
        </w:tc>
      </w:tr>
      <w:tr w:rsidR="008C50A5" w:rsidRPr="00E948BA" w:rsidTr="00FE4838">
        <w:tc>
          <w:tcPr>
            <w:tcW w:w="3672" w:type="dxa"/>
            <w:shd w:val="clear" w:color="auto" w:fill="auto"/>
          </w:tcPr>
          <w:p w:rsidR="008C50A5" w:rsidRPr="00E948BA" w:rsidRDefault="008C50A5" w:rsidP="008C50A5">
            <w:pPr>
              <w:pStyle w:val="TableText"/>
            </w:pPr>
            <w:r>
              <w:t>Total Nitrate/Nitrite</w:t>
            </w:r>
          </w:p>
        </w:tc>
        <w:tc>
          <w:tcPr>
            <w:tcW w:w="1278" w:type="dxa"/>
            <w:shd w:val="clear" w:color="auto" w:fill="auto"/>
          </w:tcPr>
          <w:p w:rsidR="008C50A5" w:rsidRPr="00E948BA" w:rsidRDefault="008C50A5" w:rsidP="00A44816">
            <w:pPr>
              <w:pStyle w:val="TableText"/>
            </w:pPr>
            <w:r>
              <w:t>10</w:t>
            </w:r>
          </w:p>
        </w:tc>
        <w:tc>
          <w:tcPr>
            <w:tcW w:w="4518" w:type="dxa"/>
          </w:tcPr>
          <w:p w:rsidR="008C50A5" w:rsidRDefault="008C50A5" w:rsidP="00A67AFB">
            <w:pPr>
              <w:pStyle w:val="TableText"/>
            </w:pPr>
            <w:r>
              <w:t>WQSWB142.3RT, WQSWB142.3RB</w:t>
            </w:r>
            <w:r w:rsidR="00FE4838">
              <w:t>, WQSWB142.3RD, WQSWB142.3LB,</w:t>
            </w:r>
            <w:r w:rsidR="003A1E3A">
              <w:t xml:space="preserve"> WQSWB118.6LT,</w:t>
            </w:r>
            <w:r w:rsidR="00EB4203">
              <w:t xml:space="preserve"> WQSWB118.6MT, WQSWB118.6MB, WQSWB118.6RT, WQSWB118.6RB,</w:t>
            </w:r>
            <w:r w:rsidR="00A67AFB">
              <w:t xml:space="preserve"> and</w:t>
            </w:r>
            <w:r w:rsidR="00EB4203">
              <w:t xml:space="preserve"> WQSWB118.6FB</w:t>
            </w:r>
          </w:p>
        </w:tc>
      </w:tr>
      <w:tr w:rsidR="008C50A5" w:rsidRPr="00E948BA" w:rsidTr="00FE4838">
        <w:tc>
          <w:tcPr>
            <w:tcW w:w="3672" w:type="dxa"/>
            <w:shd w:val="clear" w:color="auto" w:fill="auto"/>
          </w:tcPr>
          <w:p w:rsidR="008C50A5" w:rsidRDefault="008C50A5" w:rsidP="00A44816">
            <w:pPr>
              <w:pStyle w:val="TableText"/>
            </w:pPr>
            <w:r>
              <w:t>Total Phosphorus</w:t>
            </w:r>
          </w:p>
        </w:tc>
        <w:tc>
          <w:tcPr>
            <w:tcW w:w="1278" w:type="dxa"/>
            <w:shd w:val="clear" w:color="auto" w:fill="auto"/>
          </w:tcPr>
          <w:p w:rsidR="008C50A5" w:rsidRPr="00E948BA" w:rsidRDefault="008C50A5" w:rsidP="00A44816">
            <w:pPr>
              <w:pStyle w:val="TableText"/>
            </w:pPr>
            <w:r>
              <w:t>5</w:t>
            </w:r>
          </w:p>
        </w:tc>
        <w:tc>
          <w:tcPr>
            <w:tcW w:w="4518" w:type="dxa"/>
          </w:tcPr>
          <w:p w:rsidR="008C50A5" w:rsidRDefault="008C50A5" w:rsidP="00A67AFB">
            <w:pPr>
              <w:pStyle w:val="TableText"/>
            </w:pPr>
            <w:r>
              <w:t>WQSWB142.3RT, WQSWB142.3RB, WQSWB142.3MT</w:t>
            </w:r>
            <w:r w:rsidR="00FE4838">
              <w:t xml:space="preserve">, WQSWB142.3RD, WQSWB142.3LT, WQSWB142.3LB, </w:t>
            </w:r>
            <w:r w:rsidR="003A1E3A">
              <w:t>WQSWB118.6LT,</w:t>
            </w:r>
            <w:r w:rsidR="00EB4203">
              <w:t xml:space="preserve"> WQSWB118.6LB, WQSWB118.6MT, WQSWB118.6MB, WQSWB118.6RT, </w:t>
            </w:r>
            <w:r w:rsidR="00A67AFB">
              <w:t xml:space="preserve">and </w:t>
            </w:r>
            <w:r w:rsidR="00EB4203">
              <w:t>WQSWB118.6RB</w:t>
            </w:r>
          </w:p>
        </w:tc>
      </w:tr>
      <w:tr w:rsidR="008C50A5" w:rsidRPr="00E948BA" w:rsidTr="00FE4838">
        <w:trPr>
          <w:trHeight w:val="611"/>
        </w:trPr>
        <w:tc>
          <w:tcPr>
            <w:tcW w:w="3672" w:type="dxa"/>
            <w:shd w:val="clear" w:color="auto" w:fill="auto"/>
          </w:tcPr>
          <w:p w:rsidR="008C50A5" w:rsidRPr="00E948BA" w:rsidRDefault="008C50A5" w:rsidP="00A44816">
            <w:pPr>
              <w:pStyle w:val="TableText"/>
            </w:pPr>
            <w:r>
              <w:t xml:space="preserve">Total </w:t>
            </w:r>
            <w:r w:rsidR="003A1E3A">
              <w:t xml:space="preserve">and Dissolved </w:t>
            </w:r>
            <w:r>
              <w:t xml:space="preserve">Metals </w:t>
            </w:r>
            <w:r w:rsidR="003A1E3A">
              <w:t>(</w:t>
            </w:r>
            <w:r>
              <w:t>except Iron</w:t>
            </w:r>
            <w:r w:rsidR="003A1E3A">
              <w:t>)</w:t>
            </w:r>
          </w:p>
        </w:tc>
        <w:tc>
          <w:tcPr>
            <w:tcW w:w="1278" w:type="dxa"/>
            <w:shd w:val="clear" w:color="auto" w:fill="auto"/>
          </w:tcPr>
          <w:p w:rsidR="008C50A5" w:rsidRDefault="008C50A5" w:rsidP="00A44816">
            <w:pPr>
              <w:pStyle w:val="TableText"/>
            </w:pPr>
            <w:r>
              <w:t>2.5</w:t>
            </w:r>
          </w:p>
        </w:tc>
        <w:tc>
          <w:tcPr>
            <w:tcW w:w="4518" w:type="dxa"/>
          </w:tcPr>
          <w:p w:rsidR="008C50A5" w:rsidRDefault="00FE4838" w:rsidP="00A67AFB">
            <w:pPr>
              <w:pStyle w:val="TableText"/>
            </w:pPr>
            <w:r>
              <w:t>W</w:t>
            </w:r>
            <w:r w:rsidR="008C50A5">
              <w:t xml:space="preserve">QSWB142.3RB, WQSWB142.3MT, </w:t>
            </w:r>
            <w:r>
              <w:t xml:space="preserve">WQSWB142.3RD </w:t>
            </w:r>
            <w:r w:rsidR="008C50A5">
              <w:t>WQSWB142.3</w:t>
            </w:r>
            <w:r>
              <w:t>LB,</w:t>
            </w:r>
            <w:r w:rsidR="003A1E3A">
              <w:t xml:space="preserve"> WQSWB118.6LT,</w:t>
            </w:r>
            <w:r w:rsidR="00EB4203">
              <w:t xml:space="preserve"> </w:t>
            </w:r>
            <w:r w:rsidR="00A67AFB">
              <w:t xml:space="preserve">and </w:t>
            </w:r>
            <w:r w:rsidR="00EB4203">
              <w:t>WQSWB118.6MT</w:t>
            </w:r>
          </w:p>
        </w:tc>
      </w:tr>
      <w:tr w:rsidR="008C50A5" w:rsidRPr="00E948BA" w:rsidTr="00FE4838">
        <w:tc>
          <w:tcPr>
            <w:tcW w:w="3672" w:type="dxa"/>
            <w:shd w:val="clear" w:color="auto" w:fill="auto"/>
          </w:tcPr>
          <w:p w:rsidR="008C50A5" w:rsidRPr="00E948BA" w:rsidRDefault="008C50A5" w:rsidP="00A44816">
            <w:pPr>
              <w:pStyle w:val="TableText"/>
            </w:pPr>
            <w:r>
              <w:t>Total Iron</w:t>
            </w:r>
          </w:p>
        </w:tc>
        <w:tc>
          <w:tcPr>
            <w:tcW w:w="1278" w:type="dxa"/>
            <w:shd w:val="clear" w:color="auto" w:fill="auto"/>
          </w:tcPr>
          <w:p w:rsidR="008C50A5" w:rsidRPr="00E948BA" w:rsidRDefault="008C50A5" w:rsidP="00A44816">
            <w:pPr>
              <w:pStyle w:val="TableText"/>
            </w:pPr>
            <w:r>
              <w:t>100</w:t>
            </w:r>
          </w:p>
        </w:tc>
        <w:tc>
          <w:tcPr>
            <w:tcW w:w="4518" w:type="dxa"/>
          </w:tcPr>
          <w:p w:rsidR="008C50A5" w:rsidRDefault="008C50A5" w:rsidP="00FE4838">
            <w:pPr>
              <w:pStyle w:val="TableText"/>
            </w:pPr>
            <w:r>
              <w:t>WQSWB142.3RB, WQSWB142.3MT, WQSWB142.3RD</w:t>
            </w:r>
            <w:r w:rsidR="00FE4838">
              <w:t xml:space="preserve">, </w:t>
            </w:r>
            <w:r w:rsidR="00A67AFB">
              <w:t xml:space="preserve">and </w:t>
            </w:r>
            <w:r w:rsidR="00FE4838">
              <w:t>WQSWB142.3LB,</w:t>
            </w:r>
          </w:p>
        </w:tc>
      </w:tr>
      <w:tr w:rsidR="008C50A5" w:rsidRPr="00E948BA" w:rsidTr="00FE4838">
        <w:tc>
          <w:tcPr>
            <w:tcW w:w="3672" w:type="dxa"/>
            <w:shd w:val="clear" w:color="auto" w:fill="auto"/>
          </w:tcPr>
          <w:p w:rsidR="008C50A5" w:rsidRDefault="008C50A5" w:rsidP="008C50A5">
            <w:pPr>
              <w:pStyle w:val="TableText"/>
            </w:pPr>
            <w:r>
              <w:t>Total Nitrate/Nitrite</w:t>
            </w:r>
          </w:p>
        </w:tc>
        <w:tc>
          <w:tcPr>
            <w:tcW w:w="1278" w:type="dxa"/>
            <w:shd w:val="clear" w:color="auto" w:fill="auto"/>
          </w:tcPr>
          <w:p w:rsidR="008C50A5" w:rsidRDefault="008C50A5" w:rsidP="00A44816">
            <w:pPr>
              <w:pStyle w:val="TableText"/>
            </w:pPr>
            <w:r>
              <w:t>20</w:t>
            </w:r>
          </w:p>
        </w:tc>
        <w:tc>
          <w:tcPr>
            <w:tcW w:w="4518" w:type="dxa"/>
          </w:tcPr>
          <w:p w:rsidR="008C50A5" w:rsidRDefault="008C50A5" w:rsidP="00A67AFB">
            <w:pPr>
              <w:pStyle w:val="TableText"/>
            </w:pPr>
            <w:r>
              <w:t>WQSWB142.3MT</w:t>
            </w:r>
            <w:r w:rsidR="00FE4838">
              <w:t>, WQSWB142.3LT</w:t>
            </w:r>
            <w:r w:rsidR="00A67AFB">
              <w:t>,</w:t>
            </w:r>
            <w:r w:rsidR="003A1E3A">
              <w:t xml:space="preserve"> </w:t>
            </w:r>
            <w:r w:rsidR="00A67AFB">
              <w:t xml:space="preserve">and </w:t>
            </w:r>
            <w:r w:rsidR="003A1E3A">
              <w:t>WQSWB118.6LB</w:t>
            </w:r>
          </w:p>
        </w:tc>
      </w:tr>
      <w:tr w:rsidR="00FE4838" w:rsidRPr="00E948BA" w:rsidTr="00FE4838">
        <w:tc>
          <w:tcPr>
            <w:tcW w:w="3672" w:type="dxa"/>
            <w:shd w:val="clear" w:color="auto" w:fill="auto"/>
          </w:tcPr>
          <w:p w:rsidR="00FE4838" w:rsidRDefault="00FE4838" w:rsidP="008C50A5">
            <w:pPr>
              <w:pStyle w:val="TableText"/>
            </w:pPr>
            <w:r>
              <w:t>Dissolved Metals</w:t>
            </w:r>
          </w:p>
        </w:tc>
        <w:tc>
          <w:tcPr>
            <w:tcW w:w="1278" w:type="dxa"/>
            <w:shd w:val="clear" w:color="auto" w:fill="auto"/>
          </w:tcPr>
          <w:p w:rsidR="00FE4838" w:rsidRDefault="00FE4838" w:rsidP="00A44816">
            <w:pPr>
              <w:pStyle w:val="TableText"/>
            </w:pPr>
            <w:r>
              <w:t>2.5</w:t>
            </w:r>
          </w:p>
        </w:tc>
        <w:tc>
          <w:tcPr>
            <w:tcW w:w="4518" w:type="dxa"/>
          </w:tcPr>
          <w:p w:rsidR="00FE4838" w:rsidRDefault="00FE4838" w:rsidP="00A67AFB">
            <w:pPr>
              <w:pStyle w:val="TableText"/>
            </w:pPr>
            <w:r>
              <w:t>WQSWB142.3RB, WQSWB142.3MT, WQSWB142.3RD, WQSWB142.3LT, WQSWB142.3LB</w:t>
            </w:r>
            <w:r w:rsidR="00EB4203">
              <w:t xml:space="preserve">, WQSWB118.6LT, </w:t>
            </w:r>
            <w:r>
              <w:t xml:space="preserve"> </w:t>
            </w:r>
            <w:r w:rsidR="00EB4203">
              <w:lastRenderedPageBreak/>
              <w:t>WQSWB118.6LB, WQSWB118.6MT,   WQSWB118.6MB,</w:t>
            </w:r>
            <w:r w:rsidR="00A67AFB">
              <w:t xml:space="preserve"> WQSWB118.6RT,  and WQSWB118.6RB  </w:t>
            </w:r>
            <w:r w:rsidR="00EB4203">
              <w:t xml:space="preserve">  </w:t>
            </w:r>
          </w:p>
        </w:tc>
      </w:tr>
      <w:tr w:rsidR="003A1E3A" w:rsidRPr="00E948BA" w:rsidTr="00FE4838">
        <w:tc>
          <w:tcPr>
            <w:tcW w:w="3672" w:type="dxa"/>
            <w:shd w:val="clear" w:color="auto" w:fill="auto"/>
          </w:tcPr>
          <w:p w:rsidR="003A1E3A" w:rsidRDefault="003A1E3A" w:rsidP="003A1E3A">
            <w:pPr>
              <w:pStyle w:val="TableText"/>
            </w:pPr>
            <w:r>
              <w:lastRenderedPageBreak/>
              <w:t>Total Iron</w:t>
            </w:r>
          </w:p>
        </w:tc>
        <w:tc>
          <w:tcPr>
            <w:tcW w:w="1278" w:type="dxa"/>
            <w:shd w:val="clear" w:color="auto" w:fill="auto"/>
          </w:tcPr>
          <w:p w:rsidR="003A1E3A" w:rsidRDefault="003A1E3A" w:rsidP="00A44816">
            <w:pPr>
              <w:pStyle w:val="TableText"/>
            </w:pPr>
            <w:r>
              <w:t>200</w:t>
            </w:r>
          </w:p>
        </w:tc>
        <w:tc>
          <w:tcPr>
            <w:tcW w:w="4518" w:type="dxa"/>
          </w:tcPr>
          <w:p w:rsidR="003A1E3A" w:rsidRDefault="003A1E3A" w:rsidP="00A67AFB">
            <w:pPr>
              <w:pStyle w:val="TableText"/>
            </w:pPr>
            <w:r>
              <w:t>WQSWB118.6LT,</w:t>
            </w:r>
            <w:r w:rsidR="00EB4203">
              <w:t xml:space="preserve"> WQSWB118.6MT</w:t>
            </w:r>
          </w:p>
        </w:tc>
      </w:tr>
      <w:tr w:rsidR="003A1E3A" w:rsidRPr="00E948BA" w:rsidTr="00FE4838">
        <w:tc>
          <w:tcPr>
            <w:tcW w:w="3672" w:type="dxa"/>
            <w:shd w:val="clear" w:color="auto" w:fill="auto"/>
          </w:tcPr>
          <w:p w:rsidR="003A1E3A" w:rsidRDefault="003A1E3A" w:rsidP="003A1E3A">
            <w:pPr>
              <w:pStyle w:val="TableText"/>
            </w:pPr>
            <w:r>
              <w:t>Total Metals (except Barium, Calcium, Iron, Manganese, and Nickel)</w:t>
            </w:r>
          </w:p>
        </w:tc>
        <w:tc>
          <w:tcPr>
            <w:tcW w:w="1278" w:type="dxa"/>
            <w:shd w:val="clear" w:color="auto" w:fill="auto"/>
          </w:tcPr>
          <w:p w:rsidR="003A1E3A" w:rsidRDefault="003A1E3A" w:rsidP="00A44816">
            <w:pPr>
              <w:pStyle w:val="TableText"/>
            </w:pPr>
            <w:r>
              <w:t>2.5</w:t>
            </w:r>
          </w:p>
        </w:tc>
        <w:tc>
          <w:tcPr>
            <w:tcW w:w="4518" w:type="dxa"/>
          </w:tcPr>
          <w:p w:rsidR="003A1E3A" w:rsidRDefault="003A1E3A" w:rsidP="00A67AFB">
            <w:pPr>
              <w:pStyle w:val="TableText"/>
            </w:pPr>
            <w:r>
              <w:t>WQSWB118.6LB</w:t>
            </w:r>
          </w:p>
        </w:tc>
      </w:tr>
      <w:tr w:rsidR="003A1E3A" w:rsidRPr="00E948BA" w:rsidTr="00FE4838">
        <w:tc>
          <w:tcPr>
            <w:tcW w:w="3672" w:type="dxa"/>
            <w:shd w:val="clear" w:color="auto" w:fill="auto"/>
          </w:tcPr>
          <w:p w:rsidR="003A1E3A" w:rsidRDefault="003A1E3A" w:rsidP="003A1E3A">
            <w:pPr>
              <w:pStyle w:val="TableText"/>
            </w:pPr>
            <w:r>
              <w:t>Total Barium, Calcium, Iron, Manganese, and Nickel</w:t>
            </w:r>
          </w:p>
        </w:tc>
        <w:tc>
          <w:tcPr>
            <w:tcW w:w="1278" w:type="dxa"/>
            <w:shd w:val="clear" w:color="auto" w:fill="auto"/>
          </w:tcPr>
          <w:p w:rsidR="003A1E3A" w:rsidRDefault="003A1E3A" w:rsidP="00A44816">
            <w:pPr>
              <w:pStyle w:val="TableText"/>
            </w:pPr>
            <w:r>
              <w:t>200</w:t>
            </w:r>
          </w:p>
        </w:tc>
        <w:tc>
          <w:tcPr>
            <w:tcW w:w="4518" w:type="dxa"/>
          </w:tcPr>
          <w:p w:rsidR="003A1E3A" w:rsidRDefault="003A1E3A" w:rsidP="00A67AFB">
            <w:pPr>
              <w:pStyle w:val="TableText"/>
            </w:pPr>
            <w:r>
              <w:t>WQSWB118.6LB</w:t>
            </w:r>
          </w:p>
        </w:tc>
      </w:tr>
      <w:tr w:rsidR="00EB4203" w:rsidRPr="00E948BA" w:rsidTr="00FE4838">
        <w:tc>
          <w:tcPr>
            <w:tcW w:w="3672" w:type="dxa"/>
            <w:shd w:val="clear" w:color="auto" w:fill="auto"/>
          </w:tcPr>
          <w:p w:rsidR="00EB4203" w:rsidRDefault="00EB4203" w:rsidP="00EB4203">
            <w:pPr>
              <w:pStyle w:val="TableText"/>
            </w:pPr>
            <w:r>
              <w:t>Total Metals (except Barium and Iron)</w:t>
            </w:r>
          </w:p>
        </w:tc>
        <w:tc>
          <w:tcPr>
            <w:tcW w:w="1278" w:type="dxa"/>
            <w:shd w:val="clear" w:color="auto" w:fill="auto"/>
          </w:tcPr>
          <w:p w:rsidR="00EB4203" w:rsidRDefault="00EB4203" w:rsidP="00A44816">
            <w:pPr>
              <w:pStyle w:val="TableText"/>
            </w:pPr>
            <w:r>
              <w:t>2.5</w:t>
            </w:r>
          </w:p>
        </w:tc>
        <w:tc>
          <w:tcPr>
            <w:tcW w:w="4518" w:type="dxa"/>
          </w:tcPr>
          <w:p w:rsidR="00EB4203" w:rsidRDefault="00EB4203" w:rsidP="00A67AFB">
            <w:pPr>
              <w:pStyle w:val="TableText"/>
            </w:pPr>
            <w:r>
              <w:t>WQSWB118.6MB</w:t>
            </w:r>
            <w:r w:rsidR="00A67AFB">
              <w:t xml:space="preserve"> and</w:t>
            </w:r>
            <w:r>
              <w:t xml:space="preserve"> WQSWB118.6RT</w:t>
            </w:r>
          </w:p>
        </w:tc>
      </w:tr>
      <w:tr w:rsidR="00EB4203" w:rsidRPr="00E948BA" w:rsidTr="00FE4838">
        <w:tc>
          <w:tcPr>
            <w:tcW w:w="3672" w:type="dxa"/>
            <w:shd w:val="clear" w:color="auto" w:fill="auto"/>
          </w:tcPr>
          <w:p w:rsidR="00EB4203" w:rsidRDefault="00EB4203" w:rsidP="00EB4203">
            <w:pPr>
              <w:pStyle w:val="TableText"/>
            </w:pPr>
            <w:r>
              <w:t>Total Barium and Iron</w:t>
            </w:r>
          </w:p>
        </w:tc>
        <w:tc>
          <w:tcPr>
            <w:tcW w:w="1278" w:type="dxa"/>
            <w:shd w:val="clear" w:color="auto" w:fill="auto"/>
          </w:tcPr>
          <w:p w:rsidR="00EB4203" w:rsidRDefault="00EB4203" w:rsidP="00A44816">
            <w:pPr>
              <w:pStyle w:val="TableText"/>
            </w:pPr>
            <w:r>
              <w:t>200</w:t>
            </w:r>
          </w:p>
        </w:tc>
        <w:tc>
          <w:tcPr>
            <w:tcW w:w="4518" w:type="dxa"/>
          </w:tcPr>
          <w:p w:rsidR="00EB4203" w:rsidRDefault="00EB4203" w:rsidP="00A67AFB">
            <w:pPr>
              <w:pStyle w:val="TableText"/>
            </w:pPr>
            <w:r>
              <w:t>WQSWB118.6MB</w:t>
            </w:r>
            <w:r w:rsidR="00A67AFB">
              <w:t xml:space="preserve"> and</w:t>
            </w:r>
            <w:r>
              <w:t xml:space="preserve"> WQSWB118.6RT</w:t>
            </w:r>
          </w:p>
        </w:tc>
      </w:tr>
      <w:tr w:rsidR="00EB4203" w:rsidRPr="00E948BA" w:rsidTr="00FE4838">
        <w:tc>
          <w:tcPr>
            <w:tcW w:w="3672" w:type="dxa"/>
            <w:shd w:val="clear" w:color="auto" w:fill="auto"/>
          </w:tcPr>
          <w:p w:rsidR="00EB4203" w:rsidRDefault="00EB4203" w:rsidP="00EB4203">
            <w:pPr>
              <w:pStyle w:val="TableText"/>
            </w:pPr>
            <w:r>
              <w:t>Total Metals (except Barium, Iron, and Manganese)</w:t>
            </w:r>
          </w:p>
        </w:tc>
        <w:tc>
          <w:tcPr>
            <w:tcW w:w="1278" w:type="dxa"/>
            <w:shd w:val="clear" w:color="auto" w:fill="auto"/>
          </w:tcPr>
          <w:p w:rsidR="00EB4203" w:rsidRDefault="00EB4203" w:rsidP="00A44816">
            <w:pPr>
              <w:pStyle w:val="TableText"/>
            </w:pPr>
            <w:r>
              <w:t>2.5</w:t>
            </w:r>
          </w:p>
        </w:tc>
        <w:tc>
          <w:tcPr>
            <w:tcW w:w="4518" w:type="dxa"/>
          </w:tcPr>
          <w:p w:rsidR="00EB4203" w:rsidRDefault="00EB4203" w:rsidP="00A67AFB">
            <w:pPr>
              <w:pStyle w:val="TableText"/>
            </w:pPr>
            <w:r>
              <w:t>WQSWB118.6RB</w:t>
            </w:r>
          </w:p>
        </w:tc>
      </w:tr>
      <w:tr w:rsidR="00EB4203" w:rsidRPr="00E948BA" w:rsidTr="00FE4838">
        <w:tc>
          <w:tcPr>
            <w:tcW w:w="3672" w:type="dxa"/>
            <w:shd w:val="clear" w:color="auto" w:fill="auto"/>
          </w:tcPr>
          <w:p w:rsidR="00EB4203" w:rsidRDefault="00EB4203" w:rsidP="00EB4203">
            <w:pPr>
              <w:pStyle w:val="TableText"/>
            </w:pPr>
            <w:r>
              <w:t>Total Barium, Iron, and Manganese</w:t>
            </w:r>
          </w:p>
        </w:tc>
        <w:tc>
          <w:tcPr>
            <w:tcW w:w="1278" w:type="dxa"/>
            <w:shd w:val="clear" w:color="auto" w:fill="auto"/>
          </w:tcPr>
          <w:p w:rsidR="00EB4203" w:rsidRDefault="00EB4203" w:rsidP="00A44816">
            <w:pPr>
              <w:pStyle w:val="TableText"/>
            </w:pPr>
            <w:r>
              <w:t>200</w:t>
            </w:r>
          </w:p>
        </w:tc>
        <w:tc>
          <w:tcPr>
            <w:tcW w:w="4518" w:type="dxa"/>
          </w:tcPr>
          <w:p w:rsidR="00EB4203" w:rsidRDefault="00EB4203" w:rsidP="00A67AFB">
            <w:pPr>
              <w:pStyle w:val="TableText"/>
            </w:pPr>
            <w:r>
              <w:t>WQSWB118.6RB</w:t>
            </w:r>
          </w:p>
        </w:tc>
      </w:tr>
    </w:tbl>
    <w:p w:rsidR="000A118D" w:rsidRDefault="000A118D" w:rsidP="00CA33F2">
      <w:pPr>
        <w:pStyle w:val="BodyText"/>
        <w:sectPr w:rsidR="000A118D" w:rsidSect="002A0151">
          <w:pgSz w:w="12240" w:h="15840"/>
          <w:pgMar w:top="1440" w:right="1440" w:bottom="1440" w:left="1440" w:header="720" w:footer="720" w:gutter="0"/>
          <w:pgNumType w:start="1"/>
          <w:cols w:space="720"/>
          <w:docGrid w:linePitch="360"/>
        </w:sectPr>
      </w:pPr>
    </w:p>
    <w:p w:rsidR="000A118D" w:rsidRDefault="002E55EE" w:rsidP="002B6459">
      <w:pPr>
        <w:pStyle w:val="TOCSectionHead"/>
        <w:sectPr w:rsidR="000A118D" w:rsidSect="002A0151">
          <w:footerReference w:type="default" r:id="rId17"/>
          <w:pgSz w:w="12240" w:h="15840"/>
          <w:pgMar w:top="1440" w:right="1440" w:bottom="1440" w:left="1440" w:header="720" w:footer="720" w:gutter="0"/>
          <w:pgNumType w:start="1"/>
          <w:cols w:space="720"/>
          <w:docGrid w:linePitch="360"/>
        </w:sectPr>
      </w:pPr>
      <w:r>
        <w:lastRenderedPageBreak/>
        <w:t>ATTACHMENT</w:t>
      </w:r>
      <w:r w:rsidR="000A118D">
        <w:t xml:space="preserve"> A:  </w:t>
      </w:r>
      <w:r w:rsidR="0097559A">
        <w:t>Analytical results with Hand-Entered data qualifiers for SDG 1132</w:t>
      </w:r>
      <w:r w:rsidR="001E7985">
        <w:t>615</w:t>
      </w:r>
      <w:bookmarkStart w:id="22" w:name="_GoBack"/>
      <w:bookmarkEnd w:id="22"/>
    </w:p>
    <w:p w:rsidR="000A118D" w:rsidRDefault="002E55EE" w:rsidP="000A118D">
      <w:pPr>
        <w:pStyle w:val="TOCSectionHead"/>
      </w:pPr>
      <w:r>
        <w:lastRenderedPageBreak/>
        <w:t>ATTACHMENT</w:t>
      </w:r>
      <w:r w:rsidR="000A118D">
        <w:t xml:space="preserve"> B:  </w:t>
      </w:r>
      <w:r w:rsidR="0097559A">
        <w:t xml:space="preserve">chain-of Custody </w:t>
      </w:r>
      <w:r w:rsidR="001B39B3">
        <w:t>DOCUMENTATION</w:t>
      </w:r>
      <w:r w:rsidR="0097559A">
        <w:t xml:space="preserve"> for sdg 1132</w:t>
      </w:r>
      <w:r w:rsidR="001E7985">
        <w:t>615</w:t>
      </w:r>
    </w:p>
    <w:p w:rsidR="000A118D" w:rsidRDefault="000A118D" w:rsidP="00CA33F2">
      <w:pPr>
        <w:pStyle w:val="BodyText"/>
        <w:sectPr w:rsidR="000A118D" w:rsidSect="002A0151">
          <w:footerReference w:type="default" r:id="rId18"/>
          <w:pgSz w:w="12240" w:h="15840"/>
          <w:pgMar w:top="1440" w:right="1440" w:bottom="1440" w:left="1440" w:header="720" w:footer="720" w:gutter="0"/>
          <w:pgNumType w:start="1"/>
          <w:cols w:space="720"/>
          <w:docGrid w:linePitch="360"/>
        </w:sectPr>
      </w:pPr>
    </w:p>
    <w:p w:rsidR="00CF2224" w:rsidRDefault="00CF2224" w:rsidP="00CF2224">
      <w:pPr>
        <w:pStyle w:val="BodyText"/>
      </w:pPr>
    </w:p>
    <w:sectPr w:rsidR="00CF2224" w:rsidSect="002A0151">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D3" w:rsidRDefault="00C948D3" w:rsidP="00D4798F">
      <w:r>
        <w:separator/>
      </w:r>
    </w:p>
  </w:endnote>
  <w:endnote w:type="continuationSeparator" w:id="0">
    <w:p w:rsidR="00C948D3" w:rsidRDefault="00C948D3" w:rsidP="00D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5D" w:rsidRDefault="00BA595D" w:rsidP="005D5A1C">
    <w:pPr>
      <w:pStyle w:val="Footer"/>
      <w:spacing w:after="0"/>
    </w:pPr>
    <w:r>
      <w:t>Susitna-Watana Hydroelectric Project</w:t>
    </w:r>
    <w:r>
      <w:tab/>
    </w:r>
    <w:r>
      <w:tab/>
      <w:t>Alaska Energy Authority</w:t>
    </w:r>
  </w:p>
  <w:p w:rsidR="00BA595D" w:rsidRPr="00D4798F" w:rsidRDefault="00BA595D" w:rsidP="001E01ED">
    <w:pPr>
      <w:pStyle w:val="Footer"/>
    </w:pPr>
    <w:r>
      <w:t>FERC Project No. 14241</w:t>
    </w:r>
    <w:r>
      <w:tab/>
      <w:t xml:space="preserve">Page </w:t>
    </w:r>
    <w:r>
      <w:fldChar w:fldCharType="begin"/>
    </w:r>
    <w:r>
      <w:instrText xml:space="preserve"> PAGE   \* MERGEFORMAT </w:instrText>
    </w:r>
    <w:r>
      <w:fldChar w:fldCharType="separate"/>
    </w:r>
    <w:r w:rsidR="002B6459">
      <w:rPr>
        <w:noProof/>
      </w:rPr>
      <w:t>8</w:t>
    </w:r>
    <w:r>
      <w:rPr>
        <w:noProof/>
      </w:rPr>
      <w:fldChar w:fldCharType="end"/>
    </w:r>
    <w:r>
      <w:rPr>
        <w:noProof/>
      </w:rPr>
      <w:tab/>
      <w:t>March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5D" w:rsidRDefault="00BA595D" w:rsidP="005D5A1C">
    <w:pPr>
      <w:pStyle w:val="Footer"/>
      <w:spacing w:after="0"/>
    </w:pPr>
    <w:r>
      <w:t>Susitna-Watana Hydroelectric Project</w:t>
    </w:r>
    <w:r>
      <w:tab/>
    </w:r>
    <w:r>
      <w:tab/>
      <w:t>Alaska Energy Authority</w:t>
    </w:r>
  </w:p>
  <w:p w:rsidR="00BA595D" w:rsidRPr="00D4798F" w:rsidRDefault="00BA595D" w:rsidP="001E01ED">
    <w:pPr>
      <w:pStyle w:val="Footer"/>
    </w:pPr>
    <w:r>
      <w:t>FERC Project No. 14241</w:t>
    </w:r>
    <w:r>
      <w:tab/>
    </w:r>
    <w:r>
      <w:rPr>
        <w:noProof/>
      </w:rPr>
      <w:tab/>
    </w:r>
    <w:r w:rsidR="001B1A9E">
      <w:rPr>
        <w:noProof/>
      </w:rPr>
      <w:t>March</w:t>
    </w:r>
    <w:r>
      <w:rPr>
        <w:noProof/>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5D" w:rsidRDefault="00BA595D" w:rsidP="005D5A1C">
    <w:pPr>
      <w:pStyle w:val="Footer"/>
      <w:spacing w:after="0"/>
    </w:pPr>
    <w:r>
      <w:t>Susitna-Watana Hydroelectric Project</w:t>
    </w:r>
    <w:r>
      <w:tab/>
    </w:r>
    <w:r>
      <w:tab/>
      <w:t>Alaska Energy Authority</w:t>
    </w:r>
  </w:p>
  <w:p w:rsidR="00BA595D" w:rsidRPr="00D4798F" w:rsidRDefault="00BA595D" w:rsidP="001E01ED">
    <w:pPr>
      <w:pStyle w:val="Footer"/>
    </w:pPr>
    <w:r>
      <w:t>FERC Project No. 14241</w:t>
    </w:r>
    <w:r>
      <w:tab/>
    </w:r>
    <w:r>
      <w:rPr>
        <w:noProof/>
      </w:rPr>
      <w:tab/>
    </w:r>
    <w:r w:rsidR="001B1A9E">
      <w:rPr>
        <w:noProof/>
      </w:rPr>
      <w:t>March</w:t>
    </w:r>
    <w:r>
      <w:rPr>
        <w:noProof/>
      </w:rPr>
      <w:t xml:space="preserve">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5D" w:rsidRDefault="00BA595D" w:rsidP="005D5A1C">
    <w:pPr>
      <w:pStyle w:val="Footer"/>
      <w:spacing w:after="0"/>
    </w:pPr>
    <w:r>
      <w:t>Susitna-Watana Hydroelectric Project</w:t>
    </w:r>
    <w:r>
      <w:tab/>
    </w:r>
    <w:r>
      <w:tab/>
      <w:t>Alaska Energy Authority</w:t>
    </w:r>
  </w:p>
  <w:p w:rsidR="00BA595D" w:rsidRPr="00D4798F" w:rsidRDefault="00BA595D" w:rsidP="001E01ED">
    <w:pPr>
      <w:pStyle w:val="Footer"/>
    </w:pPr>
    <w:r>
      <w:t>FERC Project No. 14241</w:t>
    </w:r>
    <w:r>
      <w:tab/>
      <w:t xml:space="preserve">Appendix B – Page </w:t>
    </w:r>
    <w:r>
      <w:fldChar w:fldCharType="begin"/>
    </w:r>
    <w:r>
      <w:instrText xml:space="preserve"> PAGE   \* MERGEFORMAT </w:instrText>
    </w:r>
    <w:r>
      <w:fldChar w:fldCharType="separate"/>
    </w:r>
    <w:r w:rsidR="002B6459">
      <w:rPr>
        <w:noProof/>
      </w:rPr>
      <w:t>1</w:t>
    </w:r>
    <w:r>
      <w:rPr>
        <w:noProof/>
      </w:rPr>
      <w:fldChar w:fldCharType="end"/>
    </w:r>
    <w:r>
      <w:rPr>
        <w:noProof/>
      </w:rPr>
      <w:tab/>
    </w:r>
    <w:r w:rsidR="001B1A9E">
      <w:rPr>
        <w:noProof/>
      </w:rPr>
      <w:t>March</w:t>
    </w:r>
    <w:r>
      <w:rPr>
        <w:noProof/>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D3" w:rsidRDefault="00C948D3" w:rsidP="00D4798F">
      <w:r>
        <w:separator/>
      </w:r>
    </w:p>
  </w:footnote>
  <w:footnote w:type="continuationSeparator" w:id="0">
    <w:p w:rsidR="00C948D3" w:rsidRDefault="00C948D3" w:rsidP="00D4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5D" w:rsidRPr="001E01ED" w:rsidRDefault="00BA595D" w:rsidP="001E01ED">
    <w:pPr>
      <w:pStyle w:val="Header"/>
    </w:pPr>
    <w:r>
      <w:t>Data Validation Technical Memo</w:t>
    </w:r>
    <w:r>
      <w:tab/>
      <w:t>Water Quality</w:t>
    </w:r>
    <w:r w:rsidRPr="00650154">
      <w:t xml:space="preserve"> </w:t>
    </w:r>
    <w:r>
      <w:t>and Mercury Monitoring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6F98A"/>
    <w:lvl w:ilvl="0">
      <w:start w:val="1"/>
      <w:numFmt w:val="decimal"/>
      <w:lvlText w:val="%1."/>
      <w:lvlJc w:val="left"/>
      <w:pPr>
        <w:tabs>
          <w:tab w:val="num" w:pos="1800"/>
        </w:tabs>
        <w:ind w:left="1800" w:hanging="360"/>
      </w:pPr>
    </w:lvl>
  </w:abstractNum>
  <w:abstractNum w:abstractNumId="1">
    <w:nsid w:val="FFFFFF7D"/>
    <w:multiLevelType w:val="singleLevel"/>
    <w:tmpl w:val="99DE525A"/>
    <w:lvl w:ilvl="0">
      <w:start w:val="1"/>
      <w:numFmt w:val="decimal"/>
      <w:lvlText w:val="%1."/>
      <w:lvlJc w:val="left"/>
      <w:pPr>
        <w:tabs>
          <w:tab w:val="num" w:pos="1440"/>
        </w:tabs>
        <w:ind w:left="1440" w:hanging="360"/>
      </w:pPr>
    </w:lvl>
  </w:abstractNum>
  <w:abstractNum w:abstractNumId="2">
    <w:nsid w:val="FFFFFF7E"/>
    <w:multiLevelType w:val="singleLevel"/>
    <w:tmpl w:val="4BB25658"/>
    <w:lvl w:ilvl="0">
      <w:start w:val="1"/>
      <w:numFmt w:val="decimal"/>
      <w:lvlText w:val="%1."/>
      <w:lvlJc w:val="left"/>
      <w:pPr>
        <w:tabs>
          <w:tab w:val="num" w:pos="1080"/>
        </w:tabs>
        <w:ind w:left="1080" w:hanging="360"/>
      </w:pPr>
    </w:lvl>
  </w:abstractNum>
  <w:abstractNum w:abstractNumId="3">
    <w:nsid w:val="FFFFFF7F"/>
    <w:multiLevelType w:val="singleLevel"/>
    <w:tmpl w:val="96280876"/>
    <w:lvl w:ilvl="0">
      <w:start w:val="1"/>
      <w:numFmt w:val="decimal"/>
      <w:lvlText w:val="%1."/>
      <w:lvlJc w:val="left"/>
      <w:pPr>
        <w:tabs>
          <w:tab w:val="num" w:pos="720"/>
        </w:tabs>
        <w:ind w:left="720" w:hanging="360"/>
      </w:pPr>
    </w:lvl>
  </w:abstractNum>
  <w:abstractNum w:abstractNumId="4">
    <w:nsid w:val="FFFFFF80"/>
    <w:multiLevelType w:val="singleLevel"/>
    <w:tmpl w:val="C316C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6EEA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AC52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B843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686CA4"/>
    <w:lvl w:ilvl="0">
      <w:start w:val="1"/>
      <w:numFmt w:val="decimal"/>
      <w:lvlText w:val="%1."/>
      <w:lvlJc w:val="left"/>
      <w:pPr>
        <w:tabs>
          <w:tab w:val="num" w:pos="360"/>
        </w:tabs>
        <w:ind w:left="360" w:hanging="360"/>
      </w:pPr>
    </w:lvl>
  </w:abstractNum>
  <w:abstractNum w:abstractNumId="9">
    <w:nsid w:val="FFFFFF89"/>
    <w:multiLevelType w:val="singleLevel"/>
    <w:tmpl w:val="ECC4C22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C508C20"/>
    <w:lvl w:ilvl="0">
      <w:numFmt w:val="decimal"/>
      <w:lvlText w:val="*"/>
      <w:lvlJc w:val="left"/>
    </w:lvl>
  </w:abstractNum>
  <w:abstractNum w:abstractNumId="11">
    <w:nsid w:val="046A7978"/>
    <w:multiLevelType w:val="multilevel"/>
    <w:tmpl w:val="483694EA"/>
    <w:lvl w:ilvl="0">
      <w:start w:val="1"/>
      <w:numFmt w:val="decimal"/>
      <w:pStyle w:val="Heading1"/>
      <w:lvlText w:val="%1."/>
      <w:lvlJc w:val="left"/>
      <w:pPr>
        <w:ind w:left="720" w:hanging="720"/>
      </w:pPr>
      <w:rPr>
        <w:rFonts w:ascii="Arial" w:hAnsi="Arial" w:hint="default"/>
        <w:caps/>
        <w:sz w:val="28"/>
      </w:rPr>
    </w:lvl>
    <w:lvl w:ilvl="1">
      <w:start w:val="1"/>
      <w:numFmt w:val="decimal"/>
      <w:pStyle w:val="Heading2"/>
      <w:lvlText w:val="%1.%2."/>
      <w:lvlJc w:val="left"/>
      <w:pPr>
        <w:ind w:left="864" w:hanging="864"/>
      </w:pPr>
      <w:rPr>
        <w:rFonts w:ascii="Arial" w:hAnsi="Arial" w:hint="default"/>
        <w:sz w:val="28"/>
      </w:rPr>
    </w:lvl>
    <w:lvl w:ilvl="2">
      <w:start w:val="1"/>
      <w:numFmt w:val="decimal"/>
      <w:pStyle w:val="Heading3"/>
      <w:lvlText w:val="%1.%2.%3."/>
      <w:lvlJc w:val="left"/>
      <w:pPr>
        <w:ind w:left="1008" w:hanging="1008"/>
      </w:pPr>
      <w:rPr>
        <w:rFonts w:ascii="Arial" w:hAnsi="Arial" w:hint="default"/>
        <w:b/>
        <w:i w:val="0"/>
        <w:sz w:val="24"/>
      </w:rPr>
    </w:lvl>
    <w:lvl w:ilvl="3">
      <w:start w:val="1"/>
      <w:numFmt w:val="decimal"/>
      <w:pStyle w:val="Heading4"/>
      <w:lvlText w:val="%1.%2.%3.%4."/>
      <w:lvlJc w:val="left"/>
      <w:pPr>
        <w:ind w:left="1152" w:hanging="1152"/>
      </w:pPr>
      <w:rPr>
        <w:rFonts w:ascii="Arial" w:hAnsi="Arial" w:hint="default"/>
        <w:b w:val="0"/>
        <w:i/>
        <w:sz w:val="24"/>
      </w:rPr>
    </w:lvl>
    <w:lvl w:ilvl="4">
      <w:start w:val="1"/>
      <w:numFmt w:val="decimal"/>
      <w:pStyle w:val="Heading5"/>
      <w:lvlText w:val="%1.%2.%3.%4.%5."/>
      <w:lvlJc w:val="left"/>
      <w:pPr>
        <w:ind w:left="1296" w:hanging="1296"/>
      </w:pPr>
      <w:rPr>
        <w:rFonts w:ascii="Arial" w:hAnsi="Arial" w:hint="default"/>
        <w:b w:val="0"/>
        <w:i/>
        <w:sz w:val="22"/>
      </w:rPr>
    </w:lvl>
    <w:lvl w:ilvl="5">
      <w:start w:val="1"/>
      <w:numFmt w:val="decimal"/>
      <w:lvlText w:val="%1.%2.%3.%4.%5.%6."/>
      <w:lvlJc w:val="left"/>
      <w:pPr>
        <w:ind w:left="1440" w:hanging="1440"/>
      </w:pPr>
      <w:rPr>
        <w:rFonts w:ascii="Times New Roman Bold" w:hAnsi="Times New Roman Bold" w:hint="default"/>
        <w:b/>
        <w:i w:val="0"/>
        <w:sz w:val="24"/>
      </w:rPr>
    </w:lvl>
    <w:lvl w:ilvl="6">
      <w:start w:val="1"/>
      <w:numFmt w:val="decimal"/>
      <w:lvlText w:val="%1.%2.%3.%4.%5.%6.%7."/>
      <w:lvlJc w:val="left"/>
      <w:pPr>
        <w:ind w:left="1584" w:hanging="1584"/>
      </w:pPr>
      <w:rPr>
        <w:rFonts w:ascii="Times New Roman Bold" w:hAnsi="Times New Roman Bold" w:hint="default"/>
        <w:b/>
        <w:i/>
        <w:sz w:val="24"/>
      </w:rPr>
    </w:lvl>
    <w:lvl w:ilvl="7">
      <w:start w:val="1"/>
      <w:numFmt w:val="none"/>
      <w:lvlText w:val=""/>
      <w:lvlJc w:val="left"/>
      <w:pPr>
        <w:ind w:left="576" w:hanging="576"/>
      </w:pPr>
      <w:rPr>
        <w:rFonts w:hint="default"/>
      </w:rPr>
    </w:lvl>
    <w:lvl w:ilvl="8">
      <w:start w:val="1"/>
      <w:numFmt w:val="none"/>
      <w:lvlText w:val=""/>
      <w:lvlJc w:val="left"/>
      <w:pPr>
        <w:ind w:left="360" w:hanging="360"/>
      </w:pPr>
      <w:rPr>
        <w:rFonts w:hint="default"/>
      </w:rPr>
    </w:lvl>
  </w:abstractNum>
  <w:abstractNum w:abstractNumId="12">
    <w:nsid w:val="05694D88"/>
    <w:multiLevelType w:val="hybridMultilevel"/>
    <w:tmpl w:val="1A14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E25213"/>
    <w:multiLevelType w:val="hybridMultilevel"/>
    <w:tmpl w:val="D27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95D1B"/>
    <w:multiLevelType w:val="hybridMultilevel"/>
    <w:tmpl w:val="837C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B7F61"/>
    <w:multiLevelType w:val="hybridMultilevel"/>
    <w:tmpl w:val="F7E8125E"/>
    <w:lvl w:ilvl="0" w:tplc="7A2C811C">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EB5C17"/>
    <w:multiLevelType w:val="hybridMultilevel"/>
    <w:tmpl w:val="FEC693EC"/>
    <w:lvl w:ilvl="0" w:tplc="40508A8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82E6E"/>
    <w:multiLevelType w:val="hybridMultilevel"/>
    <w:tmpl w:val="EEC8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E58A6"/>
    <w:multiLevelType w:val="hybridMultilevel"/>
    <w:tmpl w:val="28B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6"/>
  </w:num>
  <w:num w:numId="17">
    <w:abstractNumId w:val="15"/>
  </w:num>
  <w:num w:numId="18">
    <w:abstractNumId w:val="14"/>
  </w:num>
  <w:num w:numId="19">
    <w:abstractNumId w:val="12"/>
  </w:num>
  <w:num w:numId="20">
    <w:abstractNumId w:val="18"/>
  </w:num>
  <w:num w:numId="21">
    <w:abstractNumId w:val="17"/>
  </w:num>
  <w:num w:numId="22">
    <w:abstractNumId w:val="13"/>
  </w:num>
  <w:num w:numId="23">
    <w:abstractNumId w:val="10"/>
    <w:lvlOverride w:ilvl="0">
      <w:lvl w:ilvl="0">
        <w:numFmt w:val="bullet"/>
        <w:lvlText w:val=""/>
        <w:legacy w:legacy="1" w:legacySpace="0" w:legacyIndent="432"/>
        <w:lvlJc w:val="left"/>
        <w:pPr>
          <w:ind w:left="1152" w:hanging="432"/>
        </w:pPr>
        <w:rPr>
          <w:rFonts w:ascii="Symbol" w:hAnsi="Symbol" w:hint="default"/>
        </w:rPr>
      </w:lvl>
    </w:lvlOverride>
  </w:num>
  <w:num w:numId="24">
    <w:abstractNumId w:val="10"/>
    <w:lvlOverride w:ilvl="0">
      <w:lvl w:ilvl="0">
        <w:numFmt w:val="bullet"/>
        <w:lvlText w:val=""/>
        <w:legacy w:legacy="1" w:legacySpace="0" w:legacyIndent="432"/>
        <w:lvlJc w:val="left"/>
        <w:pPr>
          <w:ind w:left="792" w:hanging="432"/>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43"/>
    <w:rsid w:val="000002E6"/>
    <w:rsid w:val="00000BB5"/>
    <w:rsid w:val="00014082"/>
    <w:rsid w:val="00016376"/>
    <w:rsid w:val="00016C5B"/>
    <w:rsid w:val="0001797C"/>
    <w:rsid w:val="000249B0"/>
    <w:rsid w:val="00026D74"/>
    <w:rsid w:val="00036820"/>
    <w:rsid w:val="00041FFD"/>
    <w:rsid w:val="00047867"/>
    <w:rsid w:val="00056592"/>
    <w:rsid w:val="00073700"/>
    <w:rsid w:val="00074E8B"/>
    <w:rsid w:val="00080ED2"/>
    <w:rsid w:val="000836A2"/>
    <w:rsid w:val="000865BA"/>
    <w:rsid w:val="000972B9"/>
    <w:rsid w:val="000A118D"/>
    <w:rsid w:val="000B100B"/>
    <w:rsid w:val="000B3175"/>
    <w:rsid w:val="000C0DF5"/>
    <w:rsid w:val="000C2BEC"/>
    <w:rsid w:val="000D058D"/>
    <w:rsid w:val="000D4A1F"/>
    <w:rsid w:val="000D6CF2"/>
    <w:rsid w:val="000E09AD"/>
    <w:rsid w:val="000E2B82"/>
    <w:rsid w:val="000E3027"/>
    <w:rsid w:val="000E71F6"/>
    <w:rsid w:val="0010597E"/>
    <w:rsid w:val="00106B86"/>
    <w:rsid w:val="0011685C"/>
    <w:rsid w:val="00121CBC"/>
    <w:rsid w:val="001256DE"/>
    <w:rsid w:val="00133347"/>
    <w:rsid w:val="0013669A"/>
    <w:rsid w:val="00165E7F"/>
    <w:rsid w:val="001803FE"/>
    <w:rsid w:val="00196282"/>
    <w:rsid w:val="001A0D4C"/>
    <w:rsid w:val="001A3EA3"/>
    <w:rsid w:val="001B139F"/>
    <w:rsid w:val="001B1A9E"/>
    <w:rsid w:val="001B39B3"/>
    <w:rsid w:val="001B422F"/>
    <w:rsid w:val="001C5193"/>
    <w:rsid w:val="001E01ED"/>
    <w:rsid w:val="001E7985"/>
    <w:rsid w:val="001E7DBA"/>
    <w:rsid w:val="001F0C42"/>
    <w:rsid w:val="001F73AB"/>
    <w:rsid w:val="00200CDE"/>
    <w:rsid w:val="0020613B"/>
    <w:rsid w:val="002076E9"/>
    <w:rsid w:val="00222385"/>
    <w:rsid w:val="00231EFF"/>
    <w:rsid w:val="00243CE2"/>
    <w:rsid w:val="00245BC0"/>
    <w:rsid w:val="00252ED4"/>
    <w:rsid w:val="00265CDB"/>
    <w:rsid w:val="00271453"/>
    <w:rsid w:val="00271EC2"/>
    <w:rsid w:val="002A0151"/>
    <w:rsid w:val="002B2C81"/>
    <w:rsid w:val="002B6459"/>
    <w:rsid w:val="002B645C"/>
    <w:rsid w:val="002C2F91"/>
    <w:rsid w:val="002D5FC1"/>
    <w:rsid w:val="002D689D"/>
    <w:rsid w:val="002E55EE"/>
    <w:rsid w:val="00301EEA"/>
    <w:rsid w:val="003142FA"/>
    <w:rsid w:val="003148E3"/>
    <w:rsid w:val="00317634"/>
    <w:rsid w:val="00327D17"/>
    <w:rsid w:val="00332893"/>
    <w:rsid w:val="003601D0"/>
    <w:rsid w:val="00360E0D"/>
    <w:rsid w:val="003671F4"/>
    <w:rsid w:val="00380C0B"/>
    <w:rsid w:val="00382CD2"/>
    <w:rsid w:val="003A1E3A"/>
    <w:rsid w:val="003A575D"/>
    <w:rsid w:val="003D62D7"/>
    <w:rsid w:val="003E6B1A"/>
    <w:rsid w:val="003E7139"/>
    <w:rsid w:val="003F21FB"/>
    <w:rsid w:val="00412328"/>
    <w:rsid w:val="00415A16"/>
    <w:rsid w:val="0041699A"/>
    <w:rsid w:val="00430AC7"/>
    <w:rsid w:val="00433BE7"/>
    <w:rsid w:val="00441E3B"/>
    <w:rsid w:val="00442DAC"/>
    <w:rsid w:val="00461C20"/>
    <w:rsid w:val="00477061"/>
    <w:rsid w:val="0048222E"/>
    <w:rsid w:val="004A6543"/>
    <w:rsid w:val="004A6845"/>
    <w:rsid w:val="004B1303"/>
    <w:rsid w:val="004C33C9"/>
    <w:rsid w:val="004C7A51"/>
    <w:rsid w:val="004D11E8"/>
    <w:rsid w:val="004F0FA8"/>
    <w:rsid w:val="00513A4B"/>
    <w:rsid w:val="0052107D"/>
    <w:rsid w:val="00537BFD"/>
    <w:rsid w:val="00540958"/>
    <w:rsid w:val="00540C6F"/>
    <w:rsid w:val="005424F0"/>
    <w:rsid w:val="00553548"/>
    <w:rsid w:val="005545AF"/>
    <w:rsid w:val="00572B1D"/>
    <w:rsid w:val="00595436"/>
    <w:rsid w:val="0059624B"/>
    <w:rsid w:val="00597867"/>
    <w:rsid w:val="005A56FC"/>
    <w:rsid w:val="005B1EC3"/>
    <w:rsid w:val="005B277A"/>
    <w:rsid w:val="005C70D6"/>
    <w:rsid w:val="005D20DE"/>
    <w:rsid w:val="005D45A7"/>
    <w:rsid w:val="005D5A1C"/>
    <w:rsid w:val="005D650C"/>
    <w:rsid w:val="005E77E2"/>
    <w:rsid w:val="005F4182"/>
    <w:rsid w:val="00606943"/>
    <w:rsid w:val="00617921"/>
    <w:rsid w:val="0062431E"/>
    <w:rsid w:val="006369CA"/>
    <w:rsid w:val="006379EA"/>
    <w:rsid w:val="00650154"/>
    <w:rsid w:val="006533FB"/>
    <w:rsid w:val="006551B1"/>
    <w:rsid w:val="0065522B"/>
    <w:rsid w:val="006645FA"/>
    <w:rsid w:val="00667D46"/>
    <w:rsid w:val="006737F9"/>
    <w:rsid w:val="00691E54"/>
    <w:rsid w:val="006A23EE"/>
    <w:rsid w:val="006A29B2"/>
    <w:rsid w:val="006A2D3A"/>
    <w:rsid w:val="006A61E2"/>
    <w:rsid w:val="006D5008"/>
    <w:rsid w:val="006E1A6B"/>
    <w:rsid w:val="006F4961"/>
    <w:rsid w:val="00707F3B"/>
    <w:rsid w:val="007102D9"/>
    <w:rsid w:val="00714AC4"/>
    <w:rsid w:val="007168D2"/>
    <w:rsid w:val="00747661"/>
    <w:rsid w:val="00773C70"/>
    <w:rsid w:val="00785579"/>
    <w:rsid w:val="007C70E9"/>
    <w:rsid w:val="007D0615"/>
    <w:rsid w:val="007D1051"/>
    <w:rsid w:val="007D2E79"/>
    <w:rsid w:val="007E50B3"/>
    <w:rsid w:val="008034F4"/>
    <w:rsid w:val="00821D0F"/>
    <w:rsid w:val="00822488"/>
    <w:rsid w:val="00823C6A"/>
    <w:rsid w:val="00863B14"/>
    <w:rsid w:val="0089195E"/>
    <w:rsid w:val="008C50A5"/>
    <w:rsid w:val="008F19CA"/>
    <w:rsid w:val="008F41BD"/>
    <w:rsid w:val="0092490C"/>
    <w:rsid w:val="00924E38"/>
    <w:rsid w:val="00927880"/>
    <w:rsid w:val="00930495"/>
    <w:rsid w:val="00946411"/>
    <w:rsid w:val="00947186"/>
    <w:rsid w:val="00951BA9"/>
    <w:rsid w:val="00953B23"/>
    <w:rsid w:val="00961ABB"/>
    <w:rsid w:val="0097559A"/>
    <w:rsid w:val="009A3148"/>
    <w:rsid w:val="009C07E4"/>
    <w:rsid w:val="009C61D8"/>
    <w:rsid w:val="009C6984"/>
    <w:rsid w:val="009D171F"/>
    <w:rsid w:val="009D4CB0"/>
    <w:rsid w:val="009E470D"/>
    <w:rsid w:val="00A01D91"/>
    <w:rsid w:val="00A04933"/>
    <w:rsid w:val="00A12E74"/>
    <w:rsid w:val="00A2511B"/>
    <w:rsid w:val="00A44816"/>
    <w:rsid w:val="00A44ABD"/>
    <w:rsid w:val="00A53142"/>
    <w:rsid w:val="00A67AFB"/>
    <w:rsid w:val="00A72BE9"/>
    <w:rsid w:val="00A80F8F"/>
    <w:rsid w:val="00A83B73"/>
    <w:rsid w:val="00A95AD1"/>
    <w:rsid w:val="00AA7817"/>
    <w:rsid w:val="00AB0878"/>
    <w:rsid w:val="00AB2B2F"/>
    <w:rsid w:val="00AD274A"/>
    <w:rsid w:val="00AD4AB9"/>
    <w:rsid w:val="00AF40E3"/>
    <w:rsid w:val="00B00E6D"/>
    <w:rsid w:val="00B06F39"/>
    <w:rsid w:val="00B132DA"/>
    <w:rsid w:val="00B22B23"/>
    <w:rsid w:val="00B3764A"/>
    <w:rsid w:val="00B459C0"/>
    <w:rsid w:val="00B46111"/>
    <w:rsid w:val="00B5277B"/>
    <w:rsid w:val="00B62B18"/>
    <w:rsid w:val="00B64E68"/>
    <w:rsid w:val="00B6665D"/>
    <w:rsid w:val="00B729FA"/>
    <w:rsid w:val="00B83269"/>
    <w:rsid w:val="00BA0E30"/>
    <w:rsid w:val="00BA595D"/>
    <w:rsid w:val="00BB5A28"/>
    <w:rsid w:val="00BB642F"/>
    <w:rsid w:val="00BC13C1"/>
    <w:rsid w:val="00BC30E8"/>
    <w:rsid w:val="00BD2188"/>
    <w:rsid w:val="00BE05CE"/>
    <w:rsid w:val="00BE3AEA"/>
    <w:rsid w:val="00BE5D67"/>
    <w:rsid w:val="00BE7DCB"/>
    <w:rsid w:val="00BF1177"/>
    <w:rsid w:val="00C076D8"/>
    <w:rsid w:val="00C16A5F"/>
    <w:rsid w:val="00C24A13"/>
    <w:rsid w:val="00C2638E"/>
    <w:rsid w:val="00C43B73"/>
    <w:rsid w:val="00C50C14"/>
    <w:rsid w:val="00C56F08"/>
    <w:rsid w:val="00C60D07"/>
    <w:rsid w:val="00C631C7"/>
    <w:rsid w:val="00C71797"/>
    <w:rsid w:val="00C76A78"/>
    <w:rsid w:val="00C83287"/>
    <w:rsid w:val="00C83C3A"/>
    <w:rsid w:val="00C948D3"/>
    <w:rsid w:val="00CA33F2"/>
    <w:rsid w:val="00CB34BB"/>
    <w:rsid w:val="00CB64D8"/>
    <w:rsid w:val="00CC0A02"/>
    <w:rsid w:val="00CC1741"/>
    <w:rsid w:val="00CC4BB4"/>
    <w:rsid w:val="00CD50B5"/>
    <w:rsid w:val="00CE4EAD"/>
    <w:rsid w:val="00CE5B5A"/>
    <w:rsid w:val="00CF1C2C"/>
    <w:rsid w:val="00CF2224"/>
    <w:rsid w:val="00D01F12"/>
    <w:rsid w:val="00D112E1"/>
    <w:rsid w:val="00D1177B"/>
    <w:rsid w:val="00D21F0C"/>
    <w:rsid w:val="00D268A7"/>
    <w:rsid w:val="00D4507C"/>
    <w:rsid w:val="00D4798F"/>
    <w:rsid w:val="00D51EED"/>
    <w:rsid w:val="00D73635"/>
    <w:rsid w:val="00D80CA2"/>
    <w:rsid w:val="00D85AFA"/>
    <w:rsid w:val="00D86780"/>
    <w:rsid w:val="00D96C50"/>
    <w:rsid w:val="00DA5240"/>
    <w:rsid w:val="00DB0A4E"/>
    <w:rsid w:val="00DB5427"/>
    <w:rsid w:val="00DC47C4"/>
    <w:rsid w:val="00DD3E93"/>
    <w:rsid w:val="00DE1D91"/>
    <w:rsid w:val="00DE2954"/>
    <w:rsid w:val="00DE6CF7"/>
    <w:rsid w:val="00E014C5"/>
    <w:rsid w:val="00E06979"/>
    <w:rsid w:val="00E15E61"/>
    <w:rsid w:val="00E31D4B"/>
    <w:rsid w:val="00E41972"/>
    <w:rsid w:val="00E50259"/>
    <w:rsid w:val="00E541BE"/>
    <w:rsid w:val="00E54671"/>
    <w:rsid w:val="00E73FA3"/>
    <w:rsid w:val="00E75E25"/>
    <w:rsid w:val="00E75E94"/>
    <w:rsid w:val="00E84A87"/>
    <w:rsid w:val="00EA3D88"/>
    <w:rsid w:val="00EA7F00"/>
    <w:rsid w:val="00EB4203"/>
    <w:rsid w:val="00EF5837"/>
    <w:rsid w:val="00F022C5"/>
    <w:rsid w:val="00F1182C"/>
    <w:rsid w:val="00F12963"/>
    <w:rsid w:val="00F149C8"/>
    <w:rsid w:val="00F1525A"/>
    <w:rsid w:val="00F15313"/>
    <w:rsid w:val="00F279F4"/>
    <w:rsid w:val="00F337B4"/>
    <w:rsid w:val="00F41618"/>
    <w:rsid w:val="00F440CB"/>
    <w:rsid w:val="00F60896"/>
    <w:rsid w:val="00F65512"/>
    <w:rsid w:val="00F725AE"/>
    <w:rsid w:val="00F73F3E"/>
    <w:rsid w:val="00F744A9"/>
    <w:rsid w:val="00F81FD2"/>
    <w:rsid w:val="00F86712"/>
    <w:rsid w:val="00FA4C31"/>
    <w:rsid w:val="00FE04B9"/>
    <w:rsid w:val="00FE4838"/>
    <w:rsid w:val="00FE4F33"/>
    <w:rsid w:val="00F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93"/>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DB5427"/>
    <w:pPr>
      <w:keepNext/>
      <w:keepLines/>
      <w:numPr>
        <w:numId w:val="15"/>
      </w:numPr>
      <w:spacing w:before="480"/>
      <w:outlineLvl w:val="0"/>
    </w:pPr>
    <w:rPr>
      <w:rFonts w:ascii="Arial" w:eastAsia="Times New Roman" w:hAnsi="Arial" w:cs="Times New Roman"/>
      <w:b/>
      <w:bCs/>
      <w:caps/>
      <w:sz w:val="28"/>
      <w:szCs w:val="28"/>
    </w:rPr>
  </w:style>
  <w:style w:type="paragraph" w:styleId="Heading2">
    <w:name w:val="heading 2"/>
    <w:basedOn w:val="Normal"/>
    <w:next w:val="Normal"/>
    <w:link w:val="Heading2Char"/>
    <w:uiPriority w:val="9"/>
    <w:unhideWhenUsed/>
    <w:qFormat/>
    <w:rsid w:val="006533FB"/>
    <w:pPr>
      <w:keepNext/>
      <w:numPr>
        <w:ilvl w:val="1"/>
        <w:numId w:val="15"/>
      </w:numPr>
      <w:spacing w:before="200"/>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unhideWhenUsed/>
    <w:qFormat/>
    <w:rsid w:val="006533FB"/>
    <w:pPr>
      <w:keepNext/>
      <w:numPr>
        <w:ilvl w:val="2"/>
        <w:numId w:val="15"/>
      </w:numPr>
      <w:spacing w:before="200"/>
      <w:outlineLvl w:val="2"/>
    </w:pPr>
    <w:rPr>
      <w:rFonts w:ascii="Arial" w:eastAsia="Times New Roman" w:hAnsi="Arial" w:cs="Times New Roman"/>
      <w:b/>
      <w:bCs/>
    </w:rPr>
  </w:style>
  <w:style w:type="paragraph" w:styleId="Heading4">
    <w:name w:val="heading 4"/>
    <w:basedOn w:val="Normal"/>
    <w:next w:val="Normal"/>
    <w:link w:val="Heading4Char"/>
    <w:uiPriority w:val="9"/>
    <w:unhideWhenUsed/>
    <w:qFormat/>
    <w:rsid w:val="006533FB"/>
    <w:pPr>
      <w:keepNext/>
      <w:numPr>
        <w:ilvl w:val="3"/>
        <w:numId w:val="15"/>
      </w:numPr>
      <w:spacing w:before="200"/>
      <w:outlineLvl w:val="3"/>
    </w:pPr>
    <w:rPr>
      <w:rFonts w:ascii="Arial" w:eastAsia="Times New Roman" w:hAnsi="Arial" w:cs="Times New Roman"/>
      <w:bCs/>
      <w:i/>
      <w:iCs/>
    </w:rPr>
  </w:style>
  <w:style w:type="paragraph" w:styleId="Heading5">
    <w:name w:val="heading 5"/>
    <w:basedOn w:val="Normal"/>
    <w:next w:val="Normal"/>
    <w:link w:val="Heading5Char"/>
    <w:uiPriority w:val="9"/>
    <w:unhideWhenUsed/>
    <w:qFormat/>
    <w:rsid w:val="006533FB"/>
    <w:pPr>
      <w:keepNext/>
      <w:numPr>
        <w:ilvl w:val="4"/>
        <w:numId w:val="15"/>
      </w:numPr>
      <w:spacing w:before="200"/>
      <w:outlineLvl w:val="4"/>
    </w:pPr>
    <w:rPr>
      <w:rFonts w:ascii="Arial" w:eastAsia="Times New Roman" w:hAnsi="Arial" w:cs="Times New Roman"/>
      <w:i/>
      <w:sz w:val="22"/>
    </w:rPr>
  </w:style>
  <w:style w:type="paragraph" w:styleId="Heading6">
    <w:name w:val="heading 6"/>
    <w:basedOn w:val="Normal"/>
    <w:next w:val="Normal"/>
    <w:link w:val="Heading6Char"/>
    <w:uiPriority w:val="9"/>
    <w:unhideWhenUsed/>
    <w:qFormat/>
    <w:rsid w:val="006533FB"/>
    <w:pPr>
      <w:keepNext/>
      <w:spacing w:before="200" w:after="120"/>
      <w:outlineLvl w:val="5"/>
    </w:pPr>
    <w:rPr>
      <w:rFonts w:ascii="Arial" w:eastAsiaTheme="majorEastAsia" w:hAnsi="Arial" w:cstheme="majorBidi"/>
      <w:b/>
      <w:iCs/>
      <w:sz w:val="22"/>
    </w:rPr>
  </w:style>
  <w:style w:type="paragraph" w:styleId="Heading7">
    <w:name w:val="heading 7"/>
    <w:basedOn w:val="Normal"/>
    <w:next w:val="Normal"/>
    <w:link w:val="Heading7Char"/>
    <w:uiPriority w:val="9"/>
    <w:unhideWhenUsed/>
    <w:qFormat/>
    <w:rsid w:val="001168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1">
    <w:name w:val="Cover text 1"/>
    <w:basedOn w:val="Normal"/>
    <w:next w:val="Normal"/>
    <w:qFormat/>
    <w:rsid w:val="004A6543"/>
    <w:pPr>
      <w:spacing w:after="120"/>
      <w:jc w:val="right"/>
    </w:pPr>
    <w:rPr>
      <w:b/>
      <w:sz w:val="40"/>
    </w:rPr>
  </w:style>
  <w:style w:type="paragraph" w:customStyle="1" w:styleId="Covertext2">
    <w:name w:val="Cover text 2"/>
    <w:basedOn w:val="Normal"/>
    <w:next w:val="Normal"/>
    <w:qFormat/>
    <w:rsid w:val="00AA7817"/>
    <w:pPr>
      <w:jc w:val="right"/>
    </w:pPr>
    <w:rPr>
      <w:sz w:val="28"/>
    </w:rPr>
  </w:style>
  <w:style w:type="paragraph" w:styleId="BalloonText">
    <w:name w:val="Balloon Text"/>
    <w:basedOn w:val="Normal"/>
    <w:link w:val="BalloonTextChar"/>
    <w:uiPriority w:val="99"/>
    <w:semiHidden/>
    <w:unhideWhenUsed/>
    <w:rsid w:val="00AA7817"/>
    <w:rPr>
      <w:rFonts w:ascii="Tahoma" w:hAnsi="Tahoma" w:cs="Tahoma"/>
      <w:sz w:val="16"/>
      <w:szCs w:val="16"/>
    </w:rPr>
  </w:style>
  <w:style w:type="character" w:customStyle="1" w:styleId="BalloonTextChar">
    <w:name w:val="Balloon Text Char"/>
    <w:basedOn w:val="DefaultParagraphFont"/>
    <w:link w:val="BalloonText"/>
    <w:uiPriority w:val="99"/>
    <w:semiHidden/>
    <w:rsid w:val="00AA7817"/>
    <w:rPr>
      <w:rFonts w:ascii="Tahoma" w:hAnsi="Tahoma" w:cs="Tahoma"/>
      <w:sz w:val="16"/>
      <w:szCs w:val="16"/>
    </w:rPr>
  </w:style>
  <w:style w:type="paragraph" w:customStyle="1" w:styleId="TOCSectionHead">
    <w:name w:val="TOC Section Head"/>
    <w:basedOn w:val="Normal"/>
    <w:next w:val="Normal"/>
    <w:qFormat/>
    <w:rsid w:val="001E01ED"/>
    <w:pPr>
      <w:spacing w:before="240"/>
    </w:pPr>
    <w:rPr>
      <w:rFonts w:ascii="Arial" w:hAnsi="Arial"/>
      <w:caps/>
      <w:sz w:val="28"/>
    </w:rPr>
  </w:style>
  <w:style w:type="table" w:styleId="TableGrid">
    <w:name w:val="Table Grid"/>
    <w:basedOn w:val="TableNormal"/>
    <w:uiPriority w:val="59"/>
    <w:rsid w:val="00133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133347"/>
    <w:rPr>
      <w:rFonts w:ascii="Arial Narrow" w:hAnsi="Arial Narrow"/>
      <w:sz w:val="20"/>
    </w:rPr>
  </w:style>
  <w:style w:type="paragraph" w:styleId="BodyText">
    <w:name w:val="Body Text"/>
    <w:basedOn w:val="Normal"/>
    <w:link w:val="BodyTextChar"/>
    <w:uiPriority w:val="99"/>
    <w:unhideWhenUsed/>
    <w:rsid w:val="000E2B82"/>
  </w:style>
  <w:style w:type="character" w:customStyle="1" w:styleId="BodyTextChar">
    <w:name w:val="Body Text Char"/>
    <w:basedOn w:val="DefaultParagraphFont"/>
    <w:link w:val="BodyText"/>
    <w:uiPriority w:val="99"/>
    <w:rsid w:val="000E2B82"/>
    <w:rPr>
      <w:rFonts w:ascii="Times New Roman" w:hAnsi="Times New Roman"/>
      <w:sz w:val="24"/>
    </w:rPr>
  </w:style>
  <w:style w:type="paragraph" w:customStyle="1" w:styleId="SummaryHead">
    <w:name w:val="Summary Head"/>
    <w:basedOn w:val="Normal"/>
    <w:next w:val="BodyText"/>
    <w:qFormat/>
    <w:rsid w:val="000E2B82"/>
    <w:pPr>
      <w:keepNext/>
      <w:spacing w:before="480"/>
    </w:pPr>
    <w:rPr>
      <w:rFonts w:ascii="Arial Bold" w:hAnsi="Arial Bold"/>
      <w:b/>
      <w:caps/>
      <w:sz w:val="28"/>
    </w:rPr>
  </w:style>
  <w:style w:type="paragraph" w:styleId="Header">
    <w:name w:val="header"/>
    <w:basedOn w:val="Normal"/>
    <w:link w:val="HeaderChar"/>
    <w:unhideWhenUsed/>
    <w:rsid w:val="001E01ED"/>
    <w:pPr>
      <w:pBdr>
        <w:bottom w:val="single" w:sz="4" w:space="1" w:color="auto"/>
      </w:pBdr>
      <w:tabs>
        <w:tab w:val="right" w:pos="9360"/>
      </w:tabs>
    </w:pPr>
    <w:rPr>
      <w:rFonts w:ascii="Arial" w:hAnsi="Arial"/>
      <w:i/>
      <w:smallCaps/>
      <w:sz w:val="20"/>
    </w:rPr>
  </w:style>
  <w:style w:type="character" w:customStyle="1" w:styleId="HeaderChar">
    <w:name w:val="Header Char"/>
    <w:basedOn w:val="DefaultParagraphFont"/>
    <w:link w:val="Header"/>
    <w:uiPriority w:val="99"/>
    <w:rsid w:val="001E01ED"/>
    <w:rPr>
      <w:rFonts w:ascii="Arial" w:hAnsi="Arial"/>
      <w:i/>
      <w:smallCaps/>
      <w:sz w:val="20"/>
    </w:rPr>
  </w:style>
  <w:style w:type="paragraph" w:styleId="Footer">
    <w:name w:val="footer"/>
    <w:basedOn w:val="Normal"/>
    <w:link w:val="FooterChar"/>
    <w:uiPriority w:val="99"/>
    <w:unhideWhenUsed/>
    <w:rsid w:val="00D4798F"/>
    <w:pPr>
      <w:pBdr>
        <w:top w:val="single" w:sz="4" w:space="1" w:color="auto"/>
      </w:pBd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D4798F"/>
    <w:rPr>
      <w:rFonts w:ascii="Arial" w:hAnsi="Arial"/>
      <w:sz w:val="20"/>
    </w:rPr>
  </w:style>
  <w:style w:type="character" w:customStyle="1" w:styleId="Heading1Char">
    <w:name w:val="Heading 1 Char"/>
    <w:link w:val="Heading1"/>
    <w:uiPriority w:val="9"/>
    <w:rsid w:val="00DB5427"/>
    <w:rPr>
      <w:rFonts w:ascii="Arial" w:eastAsia="Times New Roman" w:hAnsi="Arial" w:cs="Times New Roman"/>
      <w:b/>
      <w:bCs/>
      <w:caps/>
      <w:sz w:val="28"/>
      <w:szCs w:val="28"/>
    </w:rPr>
  </w:style>
  <w:style w:type="character" w:customStyle="1" w:styleId="Heading2Char">
    <w:name w:val="Heading 2 Char"/>
    <w:link w:val="Heading2"/>
    <w:uiPriority w:val="9"/>
    <w:rsid w:val="006533FB"/>
    <w:rPr>
      <w:rFonts w:ascii="Arial" w:eastAsia="Times New Roman" w:hAnsi="Arial" w:cs="Times New Roman"/>
      <w:b/>
      <w:bCs/>
      <w:sz w:val="28"/>
      <w:szCs w:val="28"/>
    </w:rPr>
  </w:style>
  <w:style w:type="character" w:customStyle="1" w:styleId="Heading3Char">
    <w:name w:val="Heading 3 Char"/>
    <w:link w:val="Heading3"/>
    <w:uiPriority w:val="9"/>
    <w:rsid w:val="006533FB"/>
    <w:rPr>
      <w:rFonts w:ascii="Arial" w:eastAsia="Times New Roman" w:hAnsi="Arial" w:cs="Times New Roman"/>
      <w:b/>
      <w:bCs/>
      <w:sz w:val="24"/>
    </w:rPr>
  </w:style>
  <w:style w:type="character" w:customStyle="1" w:styleId="Heading4Char">
    <w:name w:val="Heading 4 Char"/>
    <w:link w:val="Heading4"/>
    <w:uiPriority w:val="9"/>
    <w:rsid w:val="006533FB"/>
    <w:rPr>
      <w:rFonts w:ascii="Arial" w:eastAsia="Times New Roman" w:hAnsi="Arial" w:cs="Times New Roman"/>
      <w:bCs/>
      <w:i/>
      <w:iCs/>
      <w:sz w:val="24"/>
    </w:rPr>
  </w:style>
  <w:style w:type="character" w:customStyle="1" w:styleId="Heading5Char">
    <w:name w:val="Heading 5 Char"/>
    <w:link w:val="Heading5"/>
    <w:uiPriority w:val="9"/>
    <w:rsid w:val="006533FB"/>
    <w:rPr>
      <w:rFonts w:ascii="Arial" w:eastAsia="Times New Roman" w:hAnsi="Arial" w:cs="Times New Roman"/>
      <w:i/>
    </w:rPr>
  </w:style>
  <w:style w:type="character" w:customStyle="1" w:styleId="Heading6Char">
    <w:name w:val="Heading 6 Char"/>
    <w:basedOn w:val="DefaultParagraphFont"/>
    <w:link w:val="Heading6"/>
    <w:uiPriority w:val="9"/>
    <w:rsid w:val="006533FB"/>
    <w:rPr>
      <w:rFonts w:ascii="Arial" w:eastAsiaTheme="majorEastAsia" w:hAnsi="Arial" w:cstheme="majorBidi"/>
      <w:b/>
      <w:iCs/>
    </w:rPr>
  </w:style>
  <w:style w:type="paragraph" w:customStyle="1" w:styleId="Bullet">
    <w:name w:val="Bullet"/>
    <w:basedOn w:val="Normal"/>
    <w:qFormat/>
    <w:rsid w:val="006533FB"/>
    <w:pPr>
      <w:numPr>
        <w:numId w:val="16"/>
      </w:numPr>
      <w:spacing w:after="180"/>
    </w:pPr>
  </w:style>
  <w:style w:type="paragraph" w:customStyle="1" w:styleId="Sub-bullet">
    <w:name w:val="Sub-bullet"/>
    <w:basedOn w:val="Bullet"/>
    <w:qFormat/>
    <w:rsid w:val="006533FB"/>
    <w:pPr>
      <w:numPr>
        <w:numId w:val="17"/>
      </w:numPr>
      <w:ind w:left="1080"/>
    </w:pPr>
  </w:style>
  <w:style w:type="paragraph" w:styleId="Caption">
    <w:name w:val="caption"/>
    <w:basedOn w:val="Normal"/>
    <w:next w:val="Normal"/>
    <w:uiPriority w:val="35"/>
    <w:unhideWhenUsed/>
    <w:qFormat/>
    <w:rsid w:val="00036820"/>
    <w:pPr>
      <w:spacing w:before="240" w:after="120"/>
    </w:pPr>
    <w:rPr>
      <w:rFonts w:ascii="Arial Narrow" w:hAnsi="Arial Narrow"/>
      <w:b/>
      <w:bCs/>
      <w:sz w:val="20"/>
      <w:szCs w:val="18"/>
    </w:rPr>
  </w:style>
  <w:style w:type="paragraph" w:customStyle="1" w:styleId="TableNote">
    <w:name w:val="Table Note"/>
    <w:basedOn w:val="Normal"/>
    <w:qFormat/>
    <w:rsid w:val="00863B14"/>
    <w:pPr>
      <w:spacing w:before="60" w:after="60"/>
    </w:pPr>
    <w:rPr>
      <w:rFonts w:ascii="Arial Narrow" w:hAnsi="Arial Narrow"/>
      <w:sz w:val="18"/>
    </w:rPr>
  </w:style>
  <w:style w:type="paragraph" w:customStyle="1" w:styleId="Referencetext">
    <w:name w:val="Reference text"/>
    <w:basedOn w:val="BodyText"/>
    <w:qFormat/>
    <w:rsid w:val="009C07E4"/>
    <w:pPr>
      <w:keepLines/>
      <w:ind w:left="720" w:hanging="720"/>
    </w:pPr>
  </w:style>
  <w:style w:type="character" w:styleId="Hyperlink">
    <w:name w:val="Hyperlink"/>
    <w:basedOn w:val="DefaultParagraphFont"/>
    <w:uiPriority w:val="99"/>
    <w:unhideWhenUsed/>
    <w:rsid w:val="003671F4"/>
    <w:rPr>
      <w:color w:val="0000FF" w:themeColor="hyperlink"/>
      <w:u w:val="single"/>
    </w:rPr>
  </w:style>
  <w:style w:type="paragraph" w:styleId="TOC2">
    <w:name w:val="toc 2"/>
    <w:basedOn w:val="Normal"/>
    <w:next w:val="Normal"/>
    <w:autoRedefine/>
    <w:uiPriority w:val="39"/>
    <w:unhideWhenUsed/>
    <w:rsid w:val="00D112E1"/>
    <w:pPr>
      <w:spacing w:after="120"/>
      <w:ind w:left="1008" w:hanging="576"/>
    </w:pPr>
  </w:style>
  <w:style w:type="paragraph" w:styleId="TOC1">
    <w:name w:val="toc 1"/>
    <w:basedOn w:val="Normal"/>
    <w:next w:val="Normal"/>
    <w:autoRedefine/>
    <w:uiPriority w:val="39"/>
    <w:unhideWhenUsed/>
    <w:rsid w:val="00D112E1"/>
    <w:pPr>
      <w:spacing w:before="240" w:after="120"/>
      <w:ind w:left="432" w:hanging="432"/>
    </w:pPr>
    <w:rPr>
      <w:b/>
    </w:rPr>
  </w:style>
  <w:style w:type="paragraph" w:styleId="TOC3">
    <w:name w:val="toc 3"/>
    <w:basedOn w:val="Normal"/>
    <w:next w:val="Normal"/>
    <w:autoRedefine/>
    <w:uiPriority w:val="39"/>
    <w:unhideWhenUsed/>
    <w:rsid w:val="00D112E1"/>
    <w:pPr>
      <w:spacing w:after="100"/>
      <w:ind w:left="1440" w:hanging="720"/>
    </w:pPr>
  </w:style>
  <w:style w:type="paragraph" w:styleId="TableofFigures">
    <w:name w:val="table of figures"/>
    <w:basedOn w:val="Normal"/>
    <w:next w:val="Normal"/>
    <w:uiPriority w:val="99"/>
    <w:unhideWhenUsed/>
    <w:rsid w:val="000E71F6"/>
  </w:style>
  <w:style w:type="character" w:styleId="CommentReference">
    <w:name w:val="annotation reference"/>
    <w:basedOn w:val="DefaultParagraphFont"/>
    <w:uiPriority w:val="99"/>
    <w:semiHidden/>
    <w:unhideWhenUsed/>
    <w:rsid w:val="005B1EC3"/>
    <w:rPr>
      <w:sz w:val="16"/>
      <w:szCs w:val="16"/>
    </w:rPr>
  </w:style>
  <w:style w:type="paragraph" w:styleId="CommentText">
    <w:name w:val="annotation text"/>
    <w:basedOn w:val="Normal"/>
    <w:link w:val="CommentTextChar"/>
    <w:uiPriority w:val="99"/>
    <w:semiHidden/>
    <w:unhideWhenUsed/>
    <w:rsid w:val="005B1EC3"/>
    <w:rPr>
      <w:sz w:val="20"/>
      <w:szCs w:val="20"/>
    </w:rPr>
  </w:style>
  <w:style w:type="character" w:customStyle="1" w:styleId="CommentTextChar">
    <w:name w:val="Comment Text Char"/>
    <w:basedOn w:val="DefaultParagraphFont"/>
    <w:link w:val="CommentText"/>
    <w:uiPriority w:val="99"/>
    <w:semiHidden/>
    <w:rsid w:val="005B1EC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1EC3"/>
    <w:rPr>
      <w:b/>
      <w:bCs/>
    </w:rPr>
  </w:style>
  <w:style w:type="character" w:customStyle="1" w:styleId="CommentSubjectChar">
    <w:name w:val="Comment Subject Char"/>
    <w:basedOn w:val="CommentTextChar"/>
    <w:link w:val="CommentSubject"/>
    <w:uiPriority w:val="99"/>
    <w:semiHidden/>
    <w:rsid w:val="005B1EC3"/>
    <w:rPr>
      <w:rFonts w:ascii="Times New Roman" w:hAnsi="Times New Roman"/>
      <w:b/>
      <w:bCs/>
      <w:sz w:val="20"/>
      <w:szCs w:val="20"/>
    </w:rPr>
  </w:style>
  <w:style w:type="character" w:customStyle="1" w:styleId="Heading7Char">
    <w:name w:val="Heading 7 Char"/>
    <w:basedOn w:val="DefaultParagraphFont"/>
    <w:link w:val="Heading7"/>
    <w:uiPriority w:val="9"/>
    <w:rsid w:val="0011685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1685C"/>
    <w:rPr>
      <w:rFonts w:asciiTheme="majorHAnsi" w:eastAsiaTheme="majorEastAsia" w:hAnsiTheme="majorHAnsi" w:cstheme="majorBidi"/>
      <w:color w:val="404040" w:themeColor="text1" w:themeTint="BF"/>
      <w:sz w:val="20"/>
      <w:szCs w:val="20"/>
    </w:rPr>
  </w:style>
  <w:style w:type="paragraph" w:styleId="ListParagraph">
    <w:name w:val="List Paragraph"/>
    <w:basedOn w:val="Normal"/>
    <w:link w:val="ListParagraphChar"/>
    <w:uiPriority w:val="99"/>
    <w:qFormat/>
    <w:rsid w:val="00650154"/>
    <w:pPr>
      <w:ind w:left="720"/>
      <w:contextualSpacing/>
    </w:pPr>
  </w:style>
  <w:style w:type="character" w:customStyle="1" w:styleId="ListParagraphChar">
    <w:name w:val="List Paragraph Char"/>
    <w:basedOn w:val="DefaultParagraphFont"/>
    <w:link w:val="ListParagraph"/>
    <w:uiPriority w:val="99"/>
    <w:rsid w:val="00E54671"/>
    <w:rPr>
      <w:rFonts w:ascii="Times New Roman" w:hAnsi="Times New Roman"/>
      <w:sz w:val="24"/>
    </w:rPr>
  </w:style>
  <w:style w:type="character" w:styleId="Strong">
    <w:name w:val="Strong"/>
    <w:qFormat/>
    <w:rsid w:val="004B1303"/>
    <w:rPr>
      <w:b/>
      <w:bCs/>
    </w:rPr>
  </w:style>
  <w:style w:type="paragraph" w:styleId="NormalWeb">
    <w:name w:val="Normal (Web)"/>
    <w:basedOn w:val="Normal"/>
    <w:rsid w:val="00C2638E"/>
    <w:pPr>
      <w:spacing w:before="100" w:beforeAutospacing="1" w:after="100" w:afterAutospacing="1"/>
    </w:pPr>
    <w:rPr>
      <w:rFonts w:ascii="Arial" w:eastAsia="Times New Roman" w:hAnsi="Arial" w:cs="Arial"/>
      <w:color w:val="000000"/>
      <w:sz w:val="20"/>
      <w:szCs w:val="20"/>
    </w:rPr>
  </w:style>
  <w:style w:type="paragraph" w:customStyle="1" w:styleId="a">
    <w:name w:val="_"/>
    <w:basedOn w:val="Normal"/>
    <w:link w:val="Char"/>
    <w:rsid w:val="00C2638E"/>
    <w:pPr>
      <w:widowControl w:val="0"/>
      <w:autoSpaceDE w:val="0"/>
      <w:autoSpaceDN w:val="0"/>
      <w:adjustRightInd w:val="0"/>
      <w:spacing w:after="0"/>
      <w:ind w:left="1152" w:hanging="432"/>
    </w:pPr>
    <w:rPr>
      <w:rFonts w:ascii="Times New" w:eastAsia="Times New Roman" w:hAnsi="Times New" w:cs="Times New Roman"/>
      <w:sz w:val="22"/>
      <w:szCs w:val="24"/>
    </w:rPr>
  </w:style>
  <w:style w:type="character" w:customStyle="1" w:styleId="Char">
    <w:name w:val="_ Char"/>
    <w:link w:val="a"/>
    <w:rsid w:val="00C2638E"/>
    <w:rPr>
      <w:rFonts w:ascii="Times New" w:eastAsia="Times New Roman" w:hAnsi="Times New" w:cs="Times New Roman"/>
      <w:szCs w:val="24"/>
    </w:rPr>
  </w:style>
  <w:style w:type="paragraph" w:styleId="Revision">
    <w:name w:val="Revision"/>
    <w:hidden/>
    <w:uiPriority w:val="99"/>
    <w:semiHidden/>
    <w:rsid w:val="00951BA9"/>
    <w:pPr>
      <w:spacing w:after="0" w:line="240" w:lineRule="auto"/>
    </w:pPr>
    <w:rPr>
      <w:rFonts w:ascii="Times New Roman" w:hAnsi="Times New Roman"/>
      <w:sz w:val="24"/>
    </w:rPr>
  </w:style>
  <w:style w:type="character" w:styleId="Emphasis">
    <w:name w:val="Emphasis"/>
    <w:basedOn w:val="DefaultParagraphFont"/>
    <w:uiPriority w:val="20"/>
    <w:qFormat/>
    <w:rsid w:val="00E84A8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93"/>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DB5427"/>
    <w:pPr>
      <w:keepNext/>
      <w:keepLines/>
      <w:numPr>
        <w:numId w:val="15"/>
      </w:numPr>
      <w:spacing w:before="480"/>
      <w:outlineLvl w:val="0"/>
    </w:pPr>
    <w:rPr>
      <w:rFonts w:ascii="Arial" w:eastAsia="Times New Roman" w:hAnsi="Arial" w:cs="Times New Roman"/>
      <w:b/>
      <w:bCs/>
      <w:caps/>
      <w:sz w:val="28"/>
      <w:szCs w:val="28"/>
    </w:rPr>
  </w:style>
  <w:style w:type="paragraph" w:styleId="Heading2">
    <w:name w:val="heading 2"/>
    <w:basedOn w:val="Normal"/>
    <w:next w:val="Normal"/>
    <w:link w:val="Heading2Char"/>
    <w:uiPriority w:val="9"/>
    <w:unhideWhenUsed/>
    <w:qFormat/>
    <w:rsid w:val="006533FB"/>
    <w:pPr>
      <w:keepNext/>
      <w:numPr>
        <w:ilvl w:val="1"/>
        <w:numId w:val="15"/>
      </w:numPr>
      <w:spacing w:before="200"/>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unhideWhenUsed/>
    <w:qFormat/>
    <w:rsid w:val="006533FB"/>
    <w:pPr>
      <w:keepNext/>
      <w:numPr>
        <w:ilvl w:val="2"/>
        <w:numId w:val="15"/>
      </w:numPr>
      <w:spacing w:before="200"/>
      <w:outlineLvl w:val="2"/>
    </w:pPr>
    <w:rPr>
      <w:rFonts w:ascii="Arial" w:eastAsia="Times New Roman" w:hAnsi="Arial" w:cs="Times New Roman"/>
      <w:b/>
      <w:bCs/>
    </w:rPr>
  </w:style>
  <w:style w:type="paragraph" w:styleId="Heading4">
    <w:name w:val="heading 4"/>
    <w:basedOn w:val="Normal"/>
    <w:next w:val="Normal"/>
    <w:link w:val="Heading4Char"/>
    <w:uiPriority w:val="9"/>
    <w:unhideWhenUsed/>
    <w:qFormat/>
    <w:rsid w:val="006533FB"/>
    <w:pPr>
      <w:keepNext/>
      <w:numPr>
        <w:ilvl w:val="3"/>
        <w:numId w:val="15"/>
      </w:numPr>
      <w:spacing w:before="200"/>
      <w:outlineLvl w:val="3"/>
    </w:pPr>
    <w:rPr>
      <w:rFonts w:ascii="Arial" w:eastAsia="Times New Roman" w:hAnsi="Arial" w:cs="Times New Roman"/>
      <w:bCs/>
      <w:i/>
      <w:iCs/>
    </w:rPr>
  </w:style>
  <w:style w:type="paragraph" w:styleId="Heading5">
    <w:name w:val="heading 5"/>
    <w:basedOn w:val="Normal"/>
    <w:next w:val="Normal"/>
    <w:link w:val="Heading5Char"/>
    <w:uiPriority w:val="9"/>
    <w:unhideWhenUsed/>
    <w:qFormat/>
    <w:rsid w:val="006533FB"/>
    <w:pPr>
      <w:keepNext/>
      <w:numPr>
        <w:ilvl w:val="4"/>
        <w:numId w:val="15"/>
      </w:numPr>
      <w:spacing w:before="200"/>
      <w:outlineLvl w:val="4"/>
    </w:pPr>
    <w:rPr>
      <w:rFonts w:ascii="Arial" w:eastAsia="Times New Roman" w:hAnsi="Arial" w:cs="Times New Roman"/>
      <w:i/>
      <w:sz w:val="22"/>
    </w:rPr>
  </w:style>
  <w:style w:type="paragraph" w:styleId="Heading6">
    <w:name w:val="heading 6"/>
    <w:basedOn w:val="Normal"/>
    <w:next w:val="Normal"/>
    <w:link w:val="Heading6Char"/>
    <w:uiPriority w:val="9"/>
    <w:unhideWhenUsed/>
    <w:qFormat/>
    <w:rsid w:val="006533FB"/>
    <w:pPr>
      <w:keepNext/>
      <w:spacing w:before="200" w:after="120"/>
      <w:outlineLvl w:val="5"/>
    </w:pPr>
    <w:rPr>
      <w:rFonts w:ascii="Arial" w:eastAsiaTheme="majorEastAsia" w:hAnsi="Arial" w:cstheme="majorBidi"/>
      <w:b/>
      <w:iCs/>
      <w:sz w:val="22"/>
    </w:rPr>
  </w:style>
  <w:style w:type="paragraph" w:styleId="Heading7">
    <w:name w:val="heading 7"/>
    <w:basedOn w:val="Normal"/>
    <w:next w:val="Normal"/>
    <w:link w:val="Heading7Char"/>
    <w:uiPriority w:val="9"/>
    <w:unhideWhenUsed/>
    <w:qFormat/>
    <w:rsid w:val="001168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1">
    <w:name w:val="Cover text 1"/>
    <w:basedOn w:val="Normal"/>
    <w:next w:val="Normal"/>
    <w:qFormat/>
    <w:rsid w:val="004A6543"/>
    <w:pPr>
      <w:spacing w:after="120"/>
      <w:jc w:val="right"/>
    </w:pPr>
    <w:rPr>
      <w:b/>
      <w:sz w:val="40"/>
    </w:rPr>
  </w:style>
  <w:style w:type="paragraph" w:customStyle="1" w:styleId="Covertext2">
    <w:name w:val="Cover text 2"/>
    <w:basedOn w:val="Normal"/>
    <w:next w:val="Normal"/>
    <w:qFormat/>
    <w:rsid w:val="00AA7817"/>
    <w:pPr>
      <w:jc w:val="right"/>
    </w:pPr>
    <w:rPr>
      <w:sz w:val="28"/>
    </w:rPr>
  </w:style>
  <w:style w:type="paragraph" w:styleId="BalloonText">
    <w:name w:val="Balloon Text"/>
    <w:basedOn w:val="Normal"/>
    <w:link w:val="BalloonTextChar"/>
    <w:uiPriority w:val="99"/>
    <w:semiHidden/>
    <w:unhideWhenUsed/>
    <w:rsid w:val="00AA7817"/>
    <w:rPr>
      <w:rFonts w:ascii="Tahoma" w:hAnsi="Tahoma" w:cs="Tahoma"/>
      <w:sz w:val="16"/>
      <w:szCs w:val="16"/>
    </w:rPr>
  </w:style>
  <w:style w:type="character" w:customStyle="1" w:styleId="BalloonTextChar">
    <w:name w:val="Balloon Text Char"/>
    <w:basedOn w:val="DefaultParagraphFont"/>
    <w:link w:val="BalloonText"/>
    <w:uiPriority w:val="99"/>
    <w:semiHidden/>
    <w:rsid w:val="00AA7817"/>
    <w:rPr>
      <w:rFonts w:ascii="Tahoma" w:hAnsi="Tahoma" w:cs="Tahoma"/>
      <w:sz w:val="16"/>
      <w:szCs w:val="16"/>
    </w:rPr>
  </w:style>
  <w:style w:type="paragraph" w:customStyle="1" w:styleId="TOCSectionHead">
    <w:name w:val="TOC Section Head"/>
    <w:basedOn w:val="Normal"/>
    <w:next w:val="Normal"/>
    <w:qFormat/>
    <w:rsid w:val="001E01ED"/>
    <w:pPr>
      <w:spacing w:before="240"/>
    </w:pPr>
    <w:rPr>
      <w:rFonts w:ascii="Arial" w:hAnsi="Arial"/>
      <w:caps/>
      <w:sz w:val="28"/>
    </w:rPr>
  </w:style>
  <w:style w:type="table" w:styleId="TableGrid">
    <w:name w:val="Table Grid"/>
    <w:basedOn w:val="TableNormal"/>
    <w:uiPriority w:val="59"/>
    <w:rsid w:val="00133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133347"/>
    <w:rPr>
      <w:rFonts w:ascii="Arial Narrow" w:hAnsi="Arial Narrow"/>
      <w:sz w:val="20"/>
    </w:rPr>
  </w:style>
  <w:style w:type="paragraph" w:styleId="BodyText">
    <w:name w:val="Body Text"/>
    <w:basedOn w:val="Normal"/>
    <w:link w:val="BodyTextChar"/>
    <w:uiPriority w:val="99"/>
    <w:unhideWhenUsed/>
    <w:rsid w:val="000E2B82"/>
  </w:style>
  <w:style w:type="character" w:customStyle="1" w:styleId="BodyTextChar">
    <w:name w:val="Body Text Char"/>
    <w:basedOn w:val="DefaultParagraphFont"/>
    <w:link w:val="BodyText"/>
    <w:uiPriority w:val="99"/>
    <w:rsid w:val="000E2B82"/>
    <w:rPr>
      <w:rFonts w:ascii="Times New Roman" w:hAnsi="Times New Roman"/>
      <w:sz w:val="24"/>
    </w:rPr>
  </w:style>
  <w:style w:type="paragraph" w:customStyle="1" w:styleId="SummaryHead">
    <w:name w:val="Summary Head"/>
    <w:basedOn w:val="Normal"/>
    <w:next w:val="BodyText"/>
    <w:qFormat/>
    <w:rsid w:val="000E2B82"/>
    <w:pPr>
      <w:keepNext/>
      <w:spacing w:before="480"/>
    </w:pPr>
    <w:rPr>
      <w:rFonts w:ascii="Arial Bold" w:hAnsi="Arial Bold"/>
      <w:b/>
      <w:caps/>
      <w:sz w:val="28"/>
    </w:rPr>
  </w:style>
  <w:style w:type="paragraph" w:styleId="Header">
    <w:name w:val="header"/>
    <w:basedOn w:val="Normal"/>
    <w:link w:val="HeaderChar"/>
    <w:unhideWhenUsed/>
    <w:rsid w:val="001E01ED"/>
    <w:pPr>
      <w:pBdr>
        <w:bottom w:val="single" w:sz="4" w:space="1" w:color="auto"/>
      </w:pBdr>
      <w:tabs>
        <w:tab w:val="right" w:pos="9360"/>
      </w:tabs>
    </w:pPr>
    <w:rPr>
      <w:rFonts w:ascii="Arial" w:hAnsi="Arial"/>
      <w:i/>
      <w:smallCaps/>
      <w:sz w:val="20"/>
    </w:rPr>
  </w:style>
  <w:style w:type="character" w:customStyle="1" w:styleId="HeaderChar">
    <w:name w:val="Header Char"/>
    <w:basedOn w:val="DefaultParagraphFont"/>
    <w:link w:val="Header"/>
    <w:uiPriority w:val="99"/>
    <w:rsid w:val="001E01ED"/>
    <w:rPr>
      <w:rFonts w:ascii="Arial" w:hAnsi="Arial"/>
      <w:i/>
      <w:smallCaps/>
      <w:sz w:val="20"/>
    </w:rPr>
  </w:style>
  <w:style w:type="paragraph" w:styleId="Footer">
    <w:name w:val="footer"/>
    <w:basedOn w:val="Normal"/>
    <w:link w:val="FooterChar"/>
    <w:uiPriority w:val="99"/>
    <w:unhideWhenUsed/>
    <w:rsid w:val="00D4798F"/>
    <w:pPr>
      <w:pBdr>
        <w:top w:val="single" w:sz="4" w:space="1" w:color="auto"/>
      </w:pBd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D4798F"/>
    <w:rPr>
      <w:rFonts w:ascii="Arial" w:hAnsi="Arial"/>
      <w:sz w:val="20"/>
    </w:rPr>
  </w:style>
  <w:style w:type="character" w:customStyle="1" w:styleId="Heading1Char">
    <w:name w:val="Heading 1 Char"/>
    <w:link w:val="Heading1"/>
    <w:uiPriority w:val="9"/>
    <w:rsid w:val="00DB5427"/>
    <w:rPr>
      <w:rFonts w:ascii="Arial" w:eastAsia="Times New Roman" w:hAnsi="Arial" w:cs="Times New Roman"/>
      <w:b/>
      <w:bCs/>
      <w:caps/>
      <w:sz w:val="28"/>
      <w:szCs w:val="28"/>
    </w:rPr>
  </w:style>
  <w:style w:type="character" w:customStyle="1" w:styleId="Heading2Char">
    <w:name w:val="Heading 2 Char"/>
    <w:link w:val="Heading2"/>
    <w:uiPriority w:val="9"/>
    <w:rsid w:val="006533FB"/>
    <w:rPr>
      <w:rFonts w:ascii="Arial" w:eastAsia="Times New Roman" w:hAnsi="Arial" w:cs="Times New Roman"/>
      <w:b/>
      <w:bCs/>
      <w:sz w:val="28"/>
      <w:szCs w:val="28"/>
    </w:rPr>
  </w:style>
  <w:style w:type="character" w:customStyle="1" w:styleId="Heading3Char">
    <w:name w:val="Heading 3 Char"/>
    <w:link w:val="Heading3"/>
    <w:uiPriority w:val="9"/>
    <w:rsid w:val="006533FB"/>
    <w:rPr>
      <w:rFonts w:ascii="Arial" w:eastAsia="Times New Roman" w:hAnsi="Arial" w:cs="Times New Roman"/>
      <w:b/>
      <w:bCs/>
      <w:sz w:val="24"/>
    </w:rPr>
  </w:style>
  <w:style w:type="character" w:customStyle="1" w:styleId="Heading4Char">
    <w:name w:val="Heading 4 Char"/>
    <w:link w:val="Heading4"/>
    <w:uiPriority w:val="9"/>
    <w:rsid w:val="006533FB"/>
    <w:rPr>
      <w:rFonts w:ascii="Arial" w:eastAsia="Times New Roman" w:hAnsi="Arial" w:cs="Times New Roman"/>
      <w:bCs/>
      <w:i/>
      <w:iCs/>
      <w:sz w:val="24"/>
    </w:rPr>
  </w:style>
  <w:style w:type="character" w:customStyle="1" w:styleId="Heading5Char">
    <w:name w:val="Heading 5 Char"/>
    <w:link w:val="Heading5"/>
    <w:uiPriority w:val="9"/>
    <w:rsid w:val="006533FB"/>
    <w:rPr>
      <w:rFonts w:ascii="Arial" w:eastAsia="Times New Roman" w:hAnsi="Arial" w:cs="Times New Roman"/>
      <w:i/>
    </w:rPr>
  </w:style>
  <w:style w:type="character" w:customStyle="1" w:styleId="Heading6Char">
    <w:name w:val="Heading 6 Char"/>
    <w:basedOn w:val="DefaultParagraphFont"/>
    <w:link w:val="Heading6"/>
    <w:uiPriority w:val="9"/>
    <w:rsid w:val="006533FB"/>
    <w:rPr>
      <w:rFonts w:ascii="Arial" w:eastAsiaTheme="majorEastAsia" w:hAnsi="Arial" w:cstheme="majorBidi"/>
      <w:b/>
      <w:iCs/>
    </w:rPr>
  </w:style>
  <w:style w:type="paragraph" w:customStyle="1" w:styleId="Bullet">
    <w:name w:val="Bullet"/>
    <w:basedOn w:val="Normal"/>
    <w:qFormat/>
    <w:rsid w:val="006533FB"/>
    <w:pPr>
      <w:numPr>
        <w:numId w:val="16"/>
      </w:numPr>
      <w:spacing w:after="180"/>
    </w:pPr>
  </w:style>
  <w:style w:type="paragraph" w:customStyle="1" w:styleId="Sub-bullet">
    <w:name w:val="Sub-bullet"/>
    <w:basedOn w:val="Bullet"/>
    <w:qFormat/>
    <w:rsid w:val="006533FB"/>
    <w:pPr>
      <w:numPr>
        <w:numId w:val="17"/>
      </w:numPr>
      <w:ind w:left="1080"/>
    </w:pPr>
  </w:style>
  <w:style w:type="paragraph" w:styleId="Caption">
    <w:name w:val="caption"/>
    <w:basedOn w:val="Normal"/>
    <w:next w:val="Normal"/>
    <w:uiPriority w:val="35"/>
    <w:unhideWhenUsed/>
    <w:qFormat/>
    <w:rsid w:val="00036820"/>
    <w:pPr>
      <w:spacing w:before="240" w:after="120"/>
    </w:pPr>
    <w:rPr>
      <w:rFonts w:ascii="Arial Narrow" w:hAnsi="Arial Narrow"/>
      <w:b/>
      <w:bCs/>
      <w:sz w:val="20"/>
      <w:szCs w:val="18"/>
    </w:rPr>
  </w:style>
  <w:style w:type="paragraph" w:customStyle="1" w:styleId="TableNote">
    <w:name w:val="Table Note"/>
    <w:basedOn w:val="Normal"/>
    <w:qFormat/>
    <w:rsid w:val="00863B14"/>
    <w:pPr>
      <w:spacing w:before="60" w:after="60"/>
    </w:pPr>
    <w:rPr>
      <w:rFonts w:ascii="Arial Narrow" w:hAnsi="Arial Narrow"/>
      <w:sz w:val="18"/>
    </w:rPr>
  </w:style>
  <w:style w:type="paragraph" w:customStyle="1" w:styleId="Referencetext">
    <w:name w:val="Reference text"/>
    <w:basedOn w:val="BodyText"/>
    <w:qFormat/>
    <w:rsid w:val="009C07E4"/>
    <w:pPr>
      <w:keepLines/>
      <w:ind w:left="720" w:hanging="720"/>
    </w:pPr>
  </w:style>
  <w:style w:type="character" w:styleId="Hyperlink">
    <w:name w:val="Hyperlink"/>
    <w:basedOn w:val="DefaultParagraphFont"/>
    <w:uiPriority w:val="99"/>
    <w:unhideWhenUsed/>
    <w:rsid w:val="003671F4"/>
    <w:rPr>
      <w:color w:val="0000FF" w:themeColor="hyperlink"/>
      <w:u w:val="single"/>
    </w:rPr>
  </w:style>
  <w:style w:type="paragraph" w:styleId="TOC2">
    <w:name w:val="toc 2"/>
    <w:basedOn w:val="Normal"/>
    <w:next w:val="Normal"/>
    <w:autoRedefine/>
    <w:uiPriority w:val="39"/>
    <w:unhideWhenUsed/>
    <w:rsid w:val="00D112E1"/>
    <w:pPr>
      <w:spacing w:after="120"/>
      <w:ind w:left="1008" w:hanging="576"/>
    </w:pPr>
  </w:style>
  <w:style w:type="paragraph" w:styleId="TOC1">
    <w:name w:val="toc 1"/>
    <w:basedOn w:val="Normal"/>
    <w:next w:val="Normal"/>
    <w:autoRedefine/>
    <w:uiPriority w:val="39"/>
    <w:unhideWhenUsed/>
    <w:rsid w:val="00D112E1"/>
    <w:pPr>
      <w:spacing w:before="240" w:after="120"/>
      <w:ind w:left="432" w:hanging="432"/>
    </w:pPr>
    <w:rPr>
      <w:b/>
    </w:rPr>
  </w:style>
  <w:style w:type="paragraph" w:styleId="TOC3">
    <w:name w:val="toc 3"/>
    <w:basedOn w:val="Normal"/>
    <w:next w:val="Normal"/>
    <w:autoRedefine/>
    <w:uiPriority w:val="39"/>
    <w:unhideWhenUsed/>
    <w:rsid w:val="00D112E1"/>
    <w:pPr>
      <w:spacing w:after="100"/>
      <w:ind w:left="1440" w:hanging="720"/>
    </w:pPr>
  </w:style>
  <w:style w:type="paragraph" w:styleId="TableofFigures">
    <w:name w:val="table of figures"/>
    <w:basedOn w:val="Normal"/>
    <w:next w:val="Normal"/>
    <w:uiPriority w:val="99"/>
    <w:unhideWhenUsed/>
    <w:rsid w:val="000E71F6"/>
  </w:style>
  <w:style w:type="character" w:styleId="CommentReference">
    <w:name w:val="annotation reference"/>
    <w:basedOn w:val="DefaultParagraphFont"/>
    <w:uiPriority w:val="99"/>
    <w:semiHidden/>
    <w:unhideWhenUsed/>
    <w:rsid w:val="005B1EC3"/>
    <w:rPr>
      <w:sz w:val="16"/>
      <w:szCs w:val="16"/>
    </w:rPr>
  </w:style>
  <w:style w:type="paragraph" w:styleId="CommentText">
    <w:name w:val="annotation text"/>
    <w:basedOn w:val="Normal"/>
    <w:link w:val="CommentTextChar"/>
    <w:uiPriority w:val="99"/>
    <w:semiHidden/>
    <w:unhideWhenUsed/>
    <w:rsid w:val="005B1EC3"/>
    <w:rPr>
      <w:sz w:val="20"/>
      <w:szCs w:val="20"/>
    </w:rPr>
  </w:style>
  <w:style w:type="character" w:customStyle="1" w:styleId="CommentTextChar">
    <w:name w:val="Comment Text Char"/>
    <w:basedOn w:val="DefaultParagraphFont"/>
    <w:link w:val="CommentText"/>
    <w:uiPriority w:val="99"/>
    <w:semiHidden/>
    <w:rsid w:val="005B1EC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1EC3"/>
    <w:rPr>
      <w:b/>
      <w:bCs/>
    </w:rPr>
  </w:style>
  <w:style w:type="character" w:customStyle="1" w:styleId="CommentSubjectChar">
    <w:name w:val="Comment Subject Char"/>
    <w:basedOn w:val="CommentTextChar"/>
    <w:link w:val="CommentSubject"/>
    <w:uiPriority w:val="99"/>
    <w:semiHidden/>
    <w:rsid w:val="005B1EC3"/>
    <w:rPr>
      <w:rFonts w:ascii="Times New Roman" w:hAnsi="Times New Roman"/>
      <w:b/>
      <w:bCs/>
      <w:sz w:val="20"/>
      <w:szCs w:val="20"/>
    </w:rPr>
  </w:style>
  <w:style w:type="character" w:customStyle="1" w:styleId="Heading7Char">
    <w:name w:val="Heading 7 Char"/>
    <w:basedOn w:val="DefaultParagraphFont"/>
    <w:link w:val="Heading7"/>
    <w:uiPriority w:val="9"/>
    <w:rsid w:val="0011685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1685C"/>
    <w:rPr>
      <w:rFonts w:asciiTheme="majorHAnsi" w:eastAsiaTheme="majorEastAsia" w:hAnsiTheme="majorHAnsi" w:cstheme="majorBidi"/>
      <w:color w:val="404040" w:themeColor="text1" w:themeTint="BF"/>
      <w:sz w:val="20"/>
      <w:szCs w:val="20"/>
    </w:rPr>
  </w:style>
  <w:style w:type="paragraph" w:styleId="ListParagraph">
    <w:name w:val="List Paragraph"/>
    <w:basedOn w:val="Normal"/>
    <w:link w:val="ListParagraphChar"/>
    <w:uiPriority w:val="99"/>
    <w:qFormat/>
    <w:rsid w:val="00650154"/>
    <w:pPr>
      <w:ind w:left="720"/>
      <w:contextualSpacing/>
    </w:pPr>
  </w:style>
  <w:style w:type="character" w:customStyle="1" w:styleId="ListParagraphChar">
    <w:name w:val="List Paragraph Char"/>
    <w:basedOn w:val="DefaultParagraphFont"/>
    <w:link w:val="ListParagraph"/>
    <w:uiPriority w:val="99"/>
    <w:rsid w:val="00E54671"/>
    <w:rPr>
      <w:rFonts w:ascii="Times New Roman" w:hAnsi="Times New Roman"/>
      <w:sz w:val="24"/>
    </w:rPr>
  </w:style>
  <w:style w:type="character" w:styleId="Strong">
    <w:name w:val="Strong"/>
    <w:qFormat/>
    <w:rsid w:val="004B1303"/>
    <w:rPr>
      <w:b/>
      <w:bCs/>
    </w:rPr>
  </w:style>
  <w:style w:type="paragraph" w:styleId="NormalWeb">
    <w:name w:val="Normal (Web)"/>
    <w:basedOn w:val="Normal"/>
    <w:rsid w:val="00C2638E"/>
    <w:pPr>
      <w:spacing w:before="100" w:beforeAutospacing="1" w:after="100" w:afterAutospacing="1"/>
    </w:pPr>
    <w:rPr>
      <w:rFonts w:ascii="Arial" w:eastAsia="Times New Roman" w:hAnsi="Arial" w:cs="Arial"/>
      <w:color w:val="000000"/>
      <w:sz w:val="20"/>
      <w:szCs w:val="20"/>
    </w:rPr>
  </w:style>
  <w:style w:type="paragraph" w:customStyle="1" w:styleId="a">
    <w:name w:val="_"/>
    <w:basedOn w:val="Normal"/>
    <w:link w:val="Char"/>
    <w:rsid w:val="00C2638E"/>
    <w:pPr>
      <w:widowControl w:val="0"/>
      <w:autoSpaceDE w:val="0"/>
      <w:autoSpaceDN w:val="0"/>
      <w:adjustRightInd w:val="0"/>
      <w:spacing w:after="0"/>
      <w:ind w:left="1152" w:hanging="432"/>
    </w:pPr>
    <w:rPr>
      <w:rFonts w:ascii="Times New" w:eastAsia="Times New Roman" w:hAnsi="Times New" w:cs="Times New Roman"/>
      <w:sz w:val="22"/>
      <w:szCs w:val="24"/>
    </w:rPr>
  </w:style>
  <w:style w:type="character" w:customStyle="1" w:styleId="Char">
    <w:name w:val="_ Char"/>
    <w:link w:val="a"/>
    <w:rsid w:val="00C2638E"/>
    <w:rPr>
      <w:rFonts w:ascii="Times New" w:eastAsia="Times New Roman" w:hAnsi="Times New" w:cs="Times New Roman"/>
      <w:szCs w:val="24"/>
    </w:rPr>
  </w:style>
  <w:style w:type="paragraph" w:styleId="Revision">
    <w:name w:val="Revision"/>
    <w:hidden/>
    <w:uiPriority w:val="99"/>
    <w:semiHidden/>
    <w:rsid w:val="00951BA9"/>
    <w:pPr>
      <w:spacing w:after="0" w:line="240" w:lineRule="auto"/>
    </w:pPr>
    <w:rPr>
      <w:rFonts w:ascii="Times New Roman" w:hAnsi="Times New Roman"/>
      <w:sz w:val="24"/>
    </w:rPr>
  </w:style>
  <w:style w:type="character" w:styleId="Emphasis">
    <w:name w:val="Emphasis"/>
    <w:basedOn w:val="DefaultParagraphFont"/>
    <w:uiPriority w:val="20"/>
    <w:qFormat/>
    <w:rsid w:val="00E84A8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CDB391.C2543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WNXZU6PVT6YM-14-3573</_dlc_DocId>
    <_dlc_DocIdUrl xmlns="f3c56687-dd07-4cde-80ae-f9567630f8ed">
      <Url>http://www.suhydro.org/_layouts/DocIdRedir.aspx?ID=WNXZU6PVT6YM-14-3573</Url>
      <Description>WNXZU6PVT6YM-14-3573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1C6B-43C6-4CAE-AA40-9D1FC02A1FA4}">
  <ds:schemaRefs>
    <ds:schemaRef ds:uri="http://schemas.microsoft.com/sharepoint/events"/>
  </ds:schemaRefs>
</ds:datastoreItem>
</file>

<file path=customXml/itemProps2.xml><?xml version="1.0" encoding="utf-8"?>
<ds:datastoreItem xmlns:ds="http://schemas.openxmlformats.org/officeDocument/2006/customXml" ds:itemID="{ACF8908D-BE98-469E-9C5E-93894B531110}">
  <ds:schemaRefs>
    <ds:schemaRef ds:uri="http://schemas.microsoft.com/sharepoint/v3/contenttype/forms"/>
  </ds:schemaRefs>
</ds:datastoreItem>
</file>

<file path=customXml/itemProps3.xml><?xml version="1.0" encoding="utf-8"?>
<ds:datastoreItem xmlns:ds="http://schemas.openxmlformats.org/officeDocument/2006/customXml" ds:itemID="{519F53DB-2652-4258-9B57-E2D57B73A162}">
  <ds:schemaRefs>
    <ds:schemaRef ds:uri="http://purl.org/dc/dcmitype/"/>
    <ds:schemaRef ds:uri="http://purl.org/dc/elements/1.1/"/>
    <ds:schemaRef ds:uri="http://purl.org/dc/terms/"/>
    <ds:schemaRef ds:uri="http://schemas.microsoft.com/office/2006/documentManagement/types"/>
    <ds:schemaRef ds:uri="f3c56687-dd07-4cde-80ae-f9567630f8e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AC16C93-EC6B-413F-989E-D252FBF19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34DF0C-E9A2-43F7-87A5-EE7B8B73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Whiton</dc:creator>
  <cp:lastModifiedBy>Blizard, Jessica</cp:lastModifiedBy>
  <cp:revision>10</cp:revision>
  <cp:lastPrinted>2014-04-04T20:18:00Z</cp:lastPrinted>
  <dcterms:created xsi:type="dcterms:W3CDTF">2014-03-29T00:08:00Z</dcterms:created>
  <dcterms:modified xsi:type="dcterms:W3CDTF">2014-04-04T20:19:00Z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a460abfd-7203-4e8f-8c2f-63127283dd6b</vt:lpwstr>
  </property>
</Properties>
</file>